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39CD45" w14:textId="77777777" w:rsidR="0012388D" w:rsidRDefault="003A7B84" w:rsidP="00CA5734">
      <w:pPr>
        <w:rPr>
          <w:rFonts w:cs="Arial"/>
        </w:rPr>
      </w:pPr>
      <w:r>
        <w:rPr>
          <w:rFonts w:cs="Arial"/>
          <w:noProof/>
          <w:lang w:eastAsia="en-GB" w:bidi="ar-SA"/>
        </w:rPr>
        <mc:AlternateContent>
          <mc:Choice Requires="wps">
            <w:drawing>
              <wp:anchor distT="0" distB="0" distL="114300" distR="114300" simplePos="0" relativeHeight="251658240" behindDoc="0" locked="0" layoutInCell="1" allowOverlap="1" wp14:anchorId="1290C1BF" wp14:editId="01E5EC5F">
                <wp:simplePos x="0" y="0"/>
                <wp:positionH relativeFrom="column">
                  <wp:posOffset>3857465</wp:posOffset>
                </wp:positionH>
                <wp:positionV relativeFrom="paragraph">
                  <wp:posOffset>74260</wp:posOffset>
                </wp:positionV>
                <wp:extent cx="1828800" cy="620486"/>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20486"/>
                        </a:xfrm>
                        <a:prstGeom prst="rect">
                          <a:avLst/>
                        </a:prstGeom>
                        <a:noFill/>
                        <a:ln w="9525">
                          <a:noFill/>
                          <a:miter lim="800000"/>
                          <a:headEnd/>
                          <a:tailEnd/>
                        </a:ln>
                      </wps:spPr>
                      <wps:txbx>
                        <w:txbxContent>
                          <w:p w14:paraId="2D467864" w14:textId="6CA9B9FF" w:rsidR="00F53D8E" w:rsidRPr="00947F3E" w:rsidRDefault="00F53D8E" w:rsidP="003A7B84">
                            <w:pPr>
                              <w:ind w:left="567" w:firstLine="567"/>
                              <w:jc w:val="right"/>
                              <w:rPr>
                                <w:rFonts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3.75pt;margin-top:5.85pt;width:2in;height:4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" filled="f" stroked="f">
                <v:textbox>
                  <w:txbxContent>
                    <w:p w14:paraId="2D467864" w14:textId="6CA9B9FF" w:rsidR="00F53D8E" w:rsidRPr="00947F3E" w:rsidRDefault="00F53D8E" w:rsidP="003A7B84">
                      <w:pPr>
                        <w:ind w:left="567" w:firstLine="567"/>
                        <w:jc w:val="right"/>
                        <w:rPr>
                          <w:rFonts w:cs="Aria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772BDC">
        <w:rPr>
          <w:rFonts w:cs="Arial"/>
          <w:noProof/>
          <w:lang w:eastAsia="en-GB" w:bidi="ar-SA"/>
        </w:rPr>
        <w:drawing>
          <wp:inline distT="0" distB="0" distL="0" distR="0" wp14:anchorId="0D6CF85B" wp14:editId="2880756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5184C255" w14:textId="77777777" w:rsidR="00F979CE" w:rsidRPr="00A671E6" w:rsidRDefault="00F979CE" w:rsidP="00F979CE">
      <w:pPr>
        <w:rPr>
          <w:color w:val="FF0000"/>
        </w:rPr>
      </w:pPr>
    </w:p>
    <w:p w14:paraId="6D2010DE" w14:textId="05EE0009" w:rsidR="00F979CE" w:rsidRPr="00283CC7" w:rsidRDefault="00947F3E" w:rsidP="00F979CE">
      <w:pPr>
        <w:rPr>
          <w:b/>
          <w:sz w:val="28"/>
          <w:szCs w:val="28"/>
        </w:rPr>
      </w:pPr>
      <w:r>
        <w:rPr>
          <w:b/>
          <w:sz w:val="28"/>
          <w:szCs w:val="28"/>
        </w:rPr>
        <w:t>12 October 2017</w:t>
      </w:r>
    </w:p>
    <w:p w14:paraId="0233F443" w14:textId="15EDC702" w:rsidR="00F979CE" w:rsidRPr="00283CC7" w:rsidRDefault="00947F3E" w:rsidP="00F979CE">
      <w:pPr>
        <w:rPr>
          <w:b/>
          <w:sz w:val="28"/>
          <w:szCs w:val="28"/>
        </w:rPr>
      </w:pPr>
      <w:r>
        <w:rPr>
          <w:b/>
          <w:sz w:val="28"/>
          <w:szCs w:val="28"/>
        </w:rPr>
        <w:t>[28-17</w:t>
      </w:r>
      <w:bookmarkStart w:id="0" w:name="_GoBack"/>
      <w:bookmarkEnd w:id="0"/>
      <w:r w:rsidR="00F979CE" w:rsidRPr="00283CC7">
        <w:rPr>
          <w:b/>
          <w:sz w:val="28"/>
          <w:szCs w:val="28"/>
        </w:rPr>
        <w:t>]</w:t>
      </w:r>
    </w:p>
    <w:p w14:paraId="1E2E5920" w14:textId="77777777" w:rsidR="00F979CE" w:rsidRPr="00283CC7" w:rsidRDefault="00F979CE" w:rsidP="00F979CE"/>
    <w:p w14:paraId="731DEF99" w14:textId="60693BB6" w:rsidR="0012388D" w:rsidRPr="00283CC7" w:rsidRDefault="00283CC7" w:rsidP="00967125">
      <w:pPr>
        <w:pStyle w:val="FSTitle"/>
        <w:rPr>
          <w:b/>
        </w:rPr>
      </w:pPr>
      <w:bookmarkStart w:id="1" w:name="_Toc301535567"/>
      <w:bookmarkStart w:id="2" w:name="_Toc301535565"/>
      <w:bookmarkEnd w:id="1"/>
      <w:r w:rsidRPr="00283CC7">
        <w:rPr>
          <w:b/>
        </w:rPr>
        <w:t>A</w:t>
      </w:r>
      <w:r w:rsidR="008844E4" w:rsidRPr="00283CC7">
        <w:rPr>
          <w:b/>
        </w:rPr>
        <w:t xml:space="preserve">bandonment </w:t>
      </w:r>
      <w:r w:rsidR="00811D57">
        <w:rPr>
          <w:b/>
        </w:rPr>
        <w:t xml:space="preserve">Report </w:t>
      </w:r>
      <w:r w:rsidR="008844E4" w:rsidRPr="00283CC7">
        <w:rPr>
          <w:b/>
        </w:rPr>
        <w:t>–</w:t>
      </w:r>
      <w:r w:rsidRPr="00283CC7">
        <w:rPr>
          <w:b/>
        </w:rPr>
        <w:t xml:space="preserve"> </w:t>
      </w:r>
      <w:r w:rsidR="00CA5734" w:rsidRPr="00283CC7">
        <w:rPr>
          <w:b/>
        </w:rPr>
        <w:t>P</w:t>
      </w:r>
      <w:r w:rsidR="008844E4" w:rsidRPr="00283CC7">
        <w:rPr>
          <w:b/>
        </w:rPr>
        <w:t>r</w:t>
      </w:r>
      <w:r w:rsidR="00967125" w:rsidRPr="00283CC7">
        <w:rPr>
          <w:b/>
        </w:rPr>
        <w:t>o</w:t>
      </w:r>
      <w:r w:rsidR="008844E4" w:rsidRPr="00283CC7">
        <w:rPr>
          <w:b/>
        </w:rPr>
        <w:t>posal</w:t>
      </w:r>
      <w:r w:rsidR="00CA5734" w:rsidRPr="00283CC7">
        <w:rPr>
          <w:b/>
        </w:rPr>
        <w:t xml:space="preserve"> P</w:t>
      </w:r>
      <w:r w:rsidRPr="00283CC7">
        <w:rPr>
          <w:b/>
        </w:rPr>
        <w:t>1034</w:t>
      </w:r>
      <w:bookmarkEnd w:id="2"/>
    </w:p>
    <w:p w14:paraId="5E7DC2A8" w14:textId="77777777" w:rsidR="003A7B84" w:rsidRPr="00283CC7" w:rsidRDefault="003A7B84" w:rsidP="00C61AF0"/>
    <w:p w14:paraId="19A18D76" w14:textId="47FC1310" w:rsidR="0012388D" w:rsidRPr="00283CC7" w:rsidRDefault="00283CC7" w:rsidP="00967125">
      <w:pPr>
        <w:pStyle w:val="FSTitle"/>
      </w:pPr>
      <w:bookmarkStart w:id="3" w:name="_Toc301535566"/>
      <w:r w:rsidRPr="00283CC7">
        <w:t>Chemical Migration from Packaging into Food</w:t>
      </w:r>
      <w:bookmarkEnd w:id="3"/>
    </w:p>
    <w:p w14:paraId="65BCA6F4" w14:textId="77777777" w:rsidR="003A7B84" w:rsidRPr="00283CC7" w:rsidRDefault="003A7B84" w:rsidP="003A7B84">
      <w:pPr>
        <w:pBdr>
          <w:bottom w:val="single" w:sz="12" w:space="1" w:color="auto"/>
        </w:pBdr>
        <w:spacing w:line="280" w:lineRule="exact"/>
        <w:rPr>
          <w:rFonts w:cs="Arial"/>
          <w:bCs/>
        </w:rPr>
      </w:pPr>
    </w:p>
    <w:p w14:paraId="115DDC99" w14:textId="77777777" w:rsidR="00F979CE" w:rsidRPr="00DB74E5" w:rsidRDefault="00F979CE" w:rsidP="00D33B41"/>
    <w:p w14:paraId="73EFA45B" w14:textId="77777777" w:rsidR="007343A1" w:rsidRDefault="007343A1" w:rsidP="007343A1">
      <w:r>
        <w:t xml:space="preserve">Food Standards Australia New Zealand (FSANZ) prepared a proposal to </w:t>
      </w:r>
      <w:r w:rsidRPr="00283CC7">
        <w:t>assess the public health and safety risk of chemicals which may migrate from packaging materials into food, and to identify and manage any risks.</w:t>
      </w:r>
    </w:p>
    <w:p w14:paraId="4B813E87" w14:textId="77777777" w:rsidR="007343A1" w:rsidRPr="00D33B41" w:rsidRDefault="007343A1" w:rsidP="007343A1">
      <w:r w:rsidRPr="00D33B41">
        <w:t xml:space="preserve"> </w:t>
      </w:r>
    </w:p>
    <w:p w14:paraId="3848AA78" w14:textId="0FD530E5" w:rsidR="007343A1" w:rsidRDefault="00C858DF" w:rsidP="007343A1">
      <w:r>
        <w:t>U</w:t>
      </w:r>
      <w:r w:rsidRPr="00C858DF">
        <w:t xml:space="preserve">nder section 72 of the </w:t>
      </w:r>
      <w:r w:rsidRPr="00C858DF">
        <w:rPr>
          <w:i/>
        </w:rPr>
        <w:t>Food Standards Australia New Zealand Act 1991</w:t>
      </w:r>
      <w:r w:rsidR="00477CF6">
        <w:rPr>
          <w:i/>
        </w:rPr>
        <w:t xml:space="preserve"> </w:t>
      </w:r>
      <w:r w:rsidR="00477CF6" w:rsidRPr="00477CF6">
        <w:t>(the FSANZ Act)</w:t>
      </w:r>
      <w:r w:rsidRPr="00477CF6">
        <w:t>,</w:t>
      </w:r>
      <w:r>
        <w:t xml:space="preserve"> FSANZ sought submissions to a Consultation Paper on 12 November 2014 and received 37 submissions. </w:t>
      </w:r>
      <w:r w:rsidR="007343A1">
        <w:t xml:space="preserve">FSANZ </w:t>
      </w:r>
      <w:r w:rsidR="00477CF6">
        <w:t>sought further submissions</w:t>
      </w:r>
      <w:r>
        <w:t xml:space="preserve"> on the assessment  </w:t>
      </w:r>
      <w:r w:rsidR="007343A1">
        <w:t>on 10 June 2016</w:t>
      </w:r>
      <w:r>
        <w:t xml:space="preserve"> and </w:t>
      </w:r>
      <w:r w:rsidR="007343A1">
        <w:t xml:space="preserve">received 18 submissions. </w:t>
      </w:r>
    </w:p>
    <w:p w14:paraId="56C086DF" w14:textId="77777777" w:rsidR="007343A1" w:rsidRDefault="007343A1" w:rsidP="007343A1">
      <w:pPr>
        <w:rPr>
          <w:color w:val="FF0000"/>
        </w:rPr>
      </w:pPr>
    </w:p>
    <w:p w14:paraId="78440E90" w14:textId="14C5DDD9" w:rsidR="00EB6590" w:rsidRDefault="007343A1" w:rsidP="00F526BD">
      <w:r w:rsidRPr="005F1664">
        <w:t xml:space="preserve">Pursuant to paragraph 60(b) of the </w:t>
      </w:r>
      <w:r>
        <w:t>FSANZ Act</w:t>
      </w:r>
      <w:r w:rsidRPr="005F1664">
        <w:t xml:space="preserve">, FSANZ </w:t>
      </w:r>
      <w:r>
        <w:t>decided to abandon</w:t>
      </w:r>
      <w:r w:rsidRPr="005F1664">
        <w:t xml:space="preserve"> the Proposal.</w:t>
      </w:r>
      <w:r w:rsidRPr="005F1664">
        <w:rPr>
          <w:i/>
        </w:rPr>
        <w:t xml:space="preserve"> </w:t>
      </w:r>
      <w:r w:rsidRPr="005F1664">
        <w:t xml:space="preserve">Information on the reasons for </w:t>
      </w:r>
      <w:r>
        <w:t>this</w:t>
      </w:r>
      <w:r w:rsidRPr="005F1664">
        <w:t xml:space="preserve"> decision is contained in th</w:t>
      </w:r>
      <w:r>
        <w:t>is Report</w:t>
      </w:r>
      <w:r w:rsidR="00B10FD7" w:rsidRPr="005F1664">
        <w:t>.</w:t>
      </w:r>
      <w:r w:rsidR="009E20F5">
        <w:t xml:space="preserve"> </w:t>
      </w:r>
    </w:p>
    <w:p w14:paraId="65EFA0C6" w14:textId="77777777" w:rsidR="008844E4" w:rsidRDefault="008844E4" w:rsidP="00F4235C">
      <w:bookmarkStart w:id="4" w:name="_Toc301535568"/>
    </w:p>
    <w:p w14:paraId="4A19747A" w14:textId="4FE328AB" w:rsidR="00F02D6C" w:rsidRDefault="00F02D6C" w:rsidP="00F4235C">
      <w:r w:rsidRPr="00F02D6C">
        <w:t>Information about rights for a review of this decision is provided in this report and in Part 6 of the FSANZ Act.</w:t>
      </w:r>
    </w:p>
    <w:p w14:paraId="33F3AF9C" w14:textId="2E6338D7" w:rsidR="00F178FC" w:rsidRDefault="00F178FC" w:rsidP="00F4235C"/>
    <w:p w14:paraId="1A579E5E" w14:textId="77777777" w:rsidR="00F178FC" w:rsidRDefault="00F178FC" w:rsidP="00F4235C">
      <w:pPr>
        <w:sectPr w:rsidR="00F178FC" w:rsidSect="002C6A76">
          <w:headerReference w:type="even" r:id="rId15"/>
          <w:headerReference w:type="default" r:id="rId16"/>
          <w:footerReference w:type="even" r:id="rId17"/>
          <w:footerReference w:type="default" r:id="rId18"/>
          <w:headerReference w:type="first" r:id="rId19"/>
          <w:footerReference w:type="first" r:id="rId20"/>
          <w:pgSz w:w="11906" w:h="16838" w:code="9"/>
          <w:pgMar w:top="1418" w:right="1418" w:bottom="1418" w:left="1418" w:header="709" w:footer="709" w:gutter="0"/>
          <w:pgNumType w:fmt="lowerRoman" w:start="1"/>
          <w:cols w:space="708"/>
          <w:docGrid w:linePitch="360"/>
        </w:sectPr>
      </w:pPr>
    </w:p>
    <w:bookmarkEnd w:id="4"/>
    <w:p w14:paraId="34F7AC83" w14:textId="6ED73C8C" w:rsidR="006837FE" w:rsidRPr="00B96C59" w:rsidRDefault="006837FE" w:rsidP="00B96C59">
      <w:pPr>
        <w:jc w:val="center"/>
        <w:rPr>
          <w:sz w:val="28"/>
          <w:szCs w:val="28"/>
        </w:rPr>
      </w:pPr>
      <w:r w:rsidRPr="00B96C59">
        <w:rPr>
          <w:sz w:val="28"/>
          <w:szCs w:val="28"/>
        </w:rPr>
        <w:lastRenderedPageBreak/>
        <w:t xml:space="preserve">Table of </w:t>
      </w:r>
      <w:r w:rsidR="00124EB6">
        <w:rPr>
          <w:sz w:val="28"/>
          <w:szCs w:val="28"/>
        </w:rPr>
        <w:t>c</w:t>
      </w:r>
      <w:r w:rsidRPr="00B96C59">
        <w:rPr>
          <w:sz w:val="28"/>
          <w:szCs w:val="28"/>
        </w:rPr>
        <w:t>ontents</w:t>
      </w:r>
    </w:p>
    <w:p w14:paraId="1CA1FC9A" w14:textId="77777777" w:rsidR="0012388D" w:rsidRPr="00473079" w:rsidRDefault="0012388D" w:rsidP="00CA5734">
      <w:pPr>
        <w:rPr>
          <w:rFonts w:cs="Arial"/>
        </w:rPr>
      </w:pPr>
    </w:p>
    <w:p w14:paraId="720EAF4F" w14:textId="77777777" w:rsidR="00477CF6" w:rsidRDefault="00284453">
      <w:pPr>
        <w:pStyle w:val="TOC1"/>
        <w:tabs>
          <w:tab w:val="right" w:leader="dot" w:pos="9060"/>
        </w:tabs>
        <w:rPr>
          <w:rFonts w:eastAsiaTheme="minorEastAsia" w:cstheme="minorBidi"/>
          <w:b w:val="0"/>
          <w:bCs w:val="0"/>
          <w:caps w:val="0"/>
          <w:noProof/>
          <w:sz w:val="22"/>
          <w:szCs w:val="22"/>
          <w:lang w:eastAsia="en-GB" w:bidi="ar-SA"/>
        </w:rPr>
      </w:pPr>
      <w:r w:rsidRPr="000B2345">
        <w:rPr>
          <w:rFonts w:ascii="Arial" w:hAnsi="Arial" w:cs="Arial"/>
          <w:b w:val="0"/>
          <w:bCs w:val="0"/>
          <w:caps w:val="0"/>
          <w:smallCaps/>
        </w:rPr>
        <w:fldChar w:fldCharType="begin"/>
      </w:r>
      <w:r w:rsidRPr="000B2345">
        <w:rPr>
          <w:rFonts w:ascii="Arial" w:hAnsi="Arial" w:cs="Arial"/>
          <w:b w:val="0"/>
          <w:bCs w:val="0"/>
          <w:caps w:val="0"/>
          <w:smallCaps/>
        </w:rPr>
        <w:instrText xml:space="preserve"> TOC \o "1-3" \h \z \u </w:instrText>
      </w:r>
      <w:r w:rsidRPr="000B2345">
        <w:rPr>
          <w:rFonts w:ascii="Arial" w:hAnsi="Arial" w:cs="Arial"/>
          <w:b w:val="0"/>
          <w:bCs w:val="0"/>
          <w:caps w:val="0"/>
          <w:smallCaps/>
        </w:rPr>
        <w:fldChar w:fldCharType="separate"/>
      </w:r>
      <w:hyperlink w:anchor="_Toc493774516" w:history="1">
        <w:r w:rsidR="00477CF6" w:rsidRPr="00EF3351">
          <w:rPr>
            <w:rStyle w:val="Hyperlink"/>
            <w:noProof/>
          </w:rPr>
          <w:t>Executive summary</w:t>
        </w:r>
        <w:r w:rsidR="00477CF6">
          <w:rPr>
            <w:noProof/>
            <w:webHidden/>
          </w:rPr>
          <w:tab/>
        </w:r>
        <w:r w:rsidR="00477CF6">
          <w:rPr>
            <w:noProof/>
            <w:webHidden/>
          </w:rPr>
          <w:fldChar w:fldCharType="begin"/>
        </w:r>
        <w:r w:rsidR="00477CF6">
          <w:rPr>
            <w:noProof/>
            <w:webHidden/>
          </w:rPr>
          <w:instrText xml:space="preserve"> PAGEREF _Toc493774516 \h </w:instrText>
        </w:r>
        <w:r w:rsidR="00477CF6">
          <w:rPr>
            <w:noProof/>
            <w:webHidden/>
          </w:rPr>
        </w:r>
        <w:r w:rsidR="00477CF6">
          <w:rPr>
            <w:noProof/>
            <w:webHidden/>
          </w:rPr>
          <w:fldChar w:fldCharType="separate"/>
        </w:r>
        <w:r w:rsidR="00477CF6">
          <w:rPr>
            <w:noProof/>
            <w:webHidden/>
          </w:rPr>
          <w:t>2</w:t>
        </w:r>
        <w:r w:rsidR="00477CF6">
          <w:rPr>
            <w:noProof/>
            <w:webHidden/>
          </w:rPr>
          <w:fldChar w:fldCharType="end"/>
        </w:r>
      </w:hyperlink>
    </w:p>
    <w:p w14:paraId="386858AB" w14:textId="77777777" w:rsidR="00477CF6" w:rsidRDefault="00947F3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774517" w:history="1">
        <w:r w:rsidR="00477CF6" w:rsidRPr="00EF3351">
          <w:rPr>
            <w:rStyle w:val="Hyperlink"/>
            <w:noProof/>
          </w:rPr>
          <w:t>1</w:t>
        </w:r>
        <w:r w:rsidR="00477CF6">
          <w:rPr>
            <w:rFonts w:eastAsiaTheme="minorEastAsia" w:cstheme="minorBidi"/>
            <w:b w:val="0"/>
            <w:bCs w:val="0"/>
            <w:caps w:val="0"/>
            <w:noProof/>
            <w:sz w:val="22"/>
            <w:szCs w:val="22"/>
            <w:lang w:eastAsia="en-GB" w:bidi="ar-SA"/>
          </w:rPr>
          <w:tab/>
        </w:r>
        <w:r w:rsidR="00477CF6" w:rsidRPr="00EF3351">
          <w:rPr>
            <w:rStyle w:val="Hyperlink"/>
            <w:noProof/>
          </w:rPr>
          <w:t>Introduction</w:t>
        </w:r>
        <w:r w:rsidR="00477CF6">
          <w:rPr>
            <w:noProof/>
            <w:webHidden/>
          </w:rPr>
          <w:tab/>
        </w:r>
        <w:r w:rsidR="00477CF6">
          <w:rPr>
            <w:noProof/>
            <w:webHidden/>
          </w:rPr>
          <w:fldChar w:fldCharType="begin"/>
        </w:r>
        <w:r w:rsidR="00477CF6">
          <w:rPr>
            <w:noProof/>
            <w:webHidden/>
          </w:rPr>
          <w:instrText xml:space="preserve"> PAGEREF _Toc493774517 \h </w:instrText>
        </w:r>
        <w:r w:rsidR="00477CF6">
          <w:rPr>
            <w:noProof/>
            <w:webHidden/>
          </w:rPr>
        </w:r>
        <w:r w:rsidR="00477CF6">
          <w:rPr>
            <w:noProof/>
            <w:webHidden/>
          </w:rPr>
          <w:fldChar w:fldCharType="separate"/>
        </w:r>
        <w:r w:rsidR="00477CF6">
          <w:rPr>
            <w:noProof/>
            <w:webHidden/>
          </w:rPr>
          <w:t>4</w:t>
        </w:r>
        <w:r w:rsidR="00477CF6">
          <w:rPr>
            <w:noProof/>
            <w:webHidden/>
          </w:rPr>
          <w:fldChar w:fldCharType="end"/>
        </w:r>
      </w:hyperlink>
    </w:p>
    <w:p w14:paraId="161E726A"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18" w:history="1">
        <w:r w:rsidR="00477CF6" w:rsidRPr="00EF3351">
          <w:rPr>
            <w:rStyle w:val="Hyperlink"/>
            <w:noProof/>
          </w:rPr>
          <w:t>1.1</w:t>
        </w:r>
        <w:r w:rsidR="00477CF6">
          <w:rPr>
            <w:rFonts w:eastAsiaTheme="minorEastAsia" w:cstheme="minorBidi"/>
            <w:smallCaps w:val="0"/>
            <w:noProof/>
            <w:sz w:val="22"/>
            <w:szCs w:val="22"/>
            <w:lang w:eastAsia="en-GB" w:bidi="ar-SA"/>
          </w:rPr>
          <w:tab/>
        </w:r>
        <w:r w:rsidR="00477CF6" w:rsidRPr="00EF3351">
          <w:rPr>
            <w:rStyle w:val="Hyperlink"/>
            <w:noProof/>
          </w:rPr>
          <w:t>The Proposal</w:t>
        </w:r>
        <w:r w:rsidR="00477CF6">
          <w:rPr>
            <w:noProof/>
            <w:webHidden/>
          </w:rPr>
          <w:tab/>
        </w:r>
        <w:r w:rsidR="00477CF6">
          <w:rPr>
            <w:noProof/>
            <w:webHidden/>
          </w:rPr>
          <w:fldChar w:fldCharType="begin"/>
        </w:r>
        <w:r w:rsidR="00477CF6">
          <w:rPr>
            <w:noProof/>
            <w:webHidden/>
          </w:rPr>
          <w:instrText xml:space="preserve"> PAGEREF _Toc493774518 \h </w:instrText>
        </w:r>
        <w:r w:rsidR="00477CF6">
          <w:rPr>
            <w:noProof/>
            <w:webHidden/>
          </w:rPr>
        </w:r>
        <w:r w:rsidR="00477CF6">
          <w:rPr>
            <w:noProof/>
            <w:webHidden/>
          </w:rPr>
          <w:fldChar w:fldCharType="separate"/>
        </w:r>
        <w:r w:rsidR="00477CF6">
          <w:rPr>
            <w:noProof/>
            <w:webHidden/>
          </w:rPr>
          <w:t>4</w:t>
        </w:r>
        <w:r w:rsidR="00477CF6">
          <w:rPr>
            <w:noProof/>
            <w:webHidden/>
          </w:rPr>
          <w:fldChar w:fldCharType="end"/>
        </w:r>
      </w:hyperlink>
    </w:p>
    <w:p w14:paraId="2917FB44"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19" w:history="1">
        <w:r w:rsidR="00477CF6" w:rsidRPr="00EF3351">
          <w:rPr>
            <w:rStyle w:val="Hyperlink"/>
            <w:noProof/>
          </w:rPr>
          <w:t>1.2</w:t>
        </w:r>
        <w:r w:rsidR="00477CF6">
          <w:rPr>
            <w:rFonts w:eastAsiaTheme="minorEastAsia" w:cstheme="minorBidi"/>
            <w:smallCaps w:val="0"/>
            <w:noProof/>
            <w:sz w:val="22"/>
            <w:szCs w:val="22"/>
            <w:lang w:eastAsia="en-GB" w:bidi="ar-SA"/>
          </w:rPr>
          <w:tab/>
        </w:r>
        <w:r w:rsidR="00477CF6" w:rsidRPr="00EF3351">
          <w:rPr>
            <w:rStyle w:val="Hyperlink"/>
            <w:noProof/>
          </w:rPr>
          <w:t>Current standards</w:t>
        </w:r>
        <w:r w:rsidR="00477CF6">
          <w:rPr>
            <w:noProof/>
            <w:webHidden/>
          </w:rPr>
          <w:tab/>
        </w:r>
        <w:r w:rsidR="00477CF6">
          <w:rPr>
            <w:noProof/>
            <w:webHidden/>
          </w:rPr>
          <w:fldChar w:fldCharType="begin"/>
        </w:r>
        <w:r w:rsidR="00477CF6">
          <w:rPr>
            <w:noProof/>
            <w:webHidden/>
          </w:rPr>
          <w:instrText xml:space="preserve"> PAGEREF _Toc493774519 \h </w:instrText>
        </w:r>
        <w:r w:rsidR="00477CF6">
          <w:rPr>
            <w:noProof/>
            <w:webHidden/>
          </w:rPr>
        </w:r>
        <w:r w:rsidR="00477CF6">
          <w:rPr>
            <w:noProof/>
            <w:webHidden/>
          </w:rPr>
          <w:fldChar w:fldCharType="separate"/>
        </w:r>
        <w:r w:rsidR="00477CF6">
          <w:rPr>
            <w:noProof/>
            <w:webHidden/>
          </w:rPr>
          <w:t>4</w:t>
        </w:r>
        <w:r w:rsidR="00477CF6">
          <w:rPr>
            <w:noProof/>
            <w:webHidden/>
          </w:rPr>
          <w:fldChar w:fldCharType="end"/>
        </w:r>
      </w:hyperlink>
    </w:p>
    <w:p w14:paraId="180F205E"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20" w:history="1">
        <w:r w:rsidR="00477CF6" w:rsidRPr="00EF3351">
          <w:rPr>
            <w:rStyle w:val="Hyperlink"/>
            <w:noProof/>
            <w:u w:color="FFFF00"/>
          </w:rPr>
          <w:t>1.3</w:t>
        </w:r>
        <w:r w:rsidR="00477CF6">
          <w:rPr>
            <w:rFonts w:eastAsiaTheme="minorEastAsia" w:cstheme="minorBidi"/>
            <w:smallCaps w:val="0"/>
            <w:noProof/>
            <w:sz w:val="22"/>
            <w:szCs w:val="22"/>
            <w:lang w:eastAsia="en-GB" w:bidi="ar-SA"/>
          </w:rPr>
          <w:tab/>
        </w:r>
        <w:r w:rsidR="00477CF6" w:rsidRPr="00EF3351">
          <w:rPr>
            <w:rStyle w:val="Hyperlink"/>
            <w:noProof/>
            <w:u w:color="FFFF00"/>
          </w:rPr>
          <w:t xml:space="preserve">Reasons for </w:t>
        </w:r>
        <w:r w:rsidR="00477CF6" w:rsidRPr="00EF3351">
          <w:rPr>
            <w:rStyle w:val="Hyperlink"/>
            <w:noProof/>
          </w:rPr>
          <w:t>preparing the Proposal</w:t>
        </w:r>
        <w:r w:rsidR="00477CF6">
          <w:rPr>
            <w:noProof/>
            <w:webHidden/>
          </w:rPr>
          <w:tab/>
        </w:r>
        <w:r w:rsidR="00477CF6">
          <w:rPr>
            <w:noProof/>
            <w:webHidden/>
          </w:rPr>
          <w:fldChar w:fldCharType="begin"/>
        </w:r>
        <w:r w:rsidR="00477CF6">
          <w:rPr>
            <w:noProof/>
            <w:webHidden/>
          </w:rPr>
          <w:instrText xml:space="preserve"> PAGEREF _Toc493774520 \h </w:instrText>
        </w:r>
        <w:r w:rsidR="00477CF6">
          <w:rPr>
            <w:noProof/>
            <w:webHidden/>
          </w:rPr>
        </w:r>
        <w:r w:rsidR="00477CF6">
          <w:rPr>
            <w:noProof/>
            <w:webHidden/>
          </w:rPr>
          <w:fldChar w:fldCharType="separate"/>
        </w:r>
        <w:r w:rsidR="00477CF6">
          <w:rPr>
            <w:noProof/>
            <w:webHidden/>
          </w:rPr>
          <w:t>5</w:t>
        </w:r>
        <w:r w:rsidR="00477CF6">
          <w:rPr>
            <w:noProof/>
            <w:webHidden/>
          </w:rPr>
          <w:fldChar w:fldCharType="end"/>
        </w:r>
      </w:hyperlink>
    </w:p>
    <w:p w14:paraId="175986A0"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21" w:history="1">
        <w:r w:rsidR="00477CF6" w:rsidRPr="00EF3351">
          <w:rPr>
            <w:rStyle w:val="Hyperlink"/>
            <w:noProof/>
            <w:u w:color="FFFF00"/>
          </w:rPr>
          <w:t>1.4</w:t>
        </w:r>
        <w:r w:rsidR="00477CF6">
          <w:rPr>
            <w:rFonts w:eastAsiaTheme="minorEastAsia" w:cstheme="minorBidi"/>
            <w:smallCaps w:val="0"/>
            <w:noProof/>
            <w:sz w:val="22"/>
            <w:szCs w:val="22"/>
            <w:lang w:eastAsia="en-GB" w:bidi="ar-SA"/>
          </w:rPr>
          <w:tab/>
        </w:r>
        <w:r w:rsidR="00477CF6" w:rsidRPr="00EF3351">
          <w:rPr>
            <w:rStyle w:val="Hyperlink"/>
            <w:noProof/>
            <w:u w:color="FFFF00"/>
          </w:rPr>
          <w:t>Procedure for assessment</w:t>
        </w:r>
        <w:r w:rsidR="00477CF6">
          <w:rPr>
            <w:noProof/>
            <w:webHidden/>
          </w:rPr>
          <w:tab/>
        </w:r>
        <w:r w:rsidR="00477CF6">
          <w:rPr>
            <w:noProof/>
            <w:webHidden/>
          </w:rPr>
          <w:fldChar w:fldCharType="begin"/>
        </w:r>
        <w:r w:rsidR="00477CF6">
          <w:rPr>
            <w:noProof/>
            <w:webHidden/>
          </w:rPr>
          <w:instrText xml:space="preserve"> PAGEREF _Toc493774521 \h </w:instrText>
        </w:r>
        <w:r w:rsidR="00477CF6">
          <w:rPr>
            <w:noProof/>
            <w:webHidden/>
          </w:rPr>
        </w:r>
        <w:r w:rsidR="00477CF6">
          <w:rPr>
            <w:noProof/>
            <w:webHidden/>
          </w:rPr>
          <w:fldChar w:fldCharType="separate"/>
        </w:r>
        <w:r w:rsidR="00477CF6">
          <w:rPr>
            <w:noProof/>
            <w:webHidden/>
          </w:rPr>
          <w:t>5</w:t>
        </w:r>
        <w:r w:rsidR="00477CF6">
          <w:rPr>
            <w:noProof/>
            <w:webHidden/>
          </w:rPr>
          <w:fldChar w:fldCharType="end"/>
        </w:r>
      </w:hyperlink>
    </w:p>
    <w:p w14:paraId="608E5EBF"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22" w:history="1">
        <w:r w:rsidR="00477CF6" w:rsidRPr="00EF3351">
          <w:rPr>
            <w:rStyle w:val="Hyperlink"/>
            <w:noProof/>
          </w:rPr>
          <w:t>1.5</w:t>
        </w:r>
        <w:r w:rsidR="00477CF6">
          <w:rPr>
            <w:rFonts w:eastAsiaTheme="minorEastAsia" w:cstheme="minorBidi"/>
            <w:smallCaps w:val="0"/>
            <w:noProof/>
            <w:sz w:val="22"/>
            <w:szCs w:val="22"/>
            <w:lang w:eastAsia="en-GB" w:bidi="ar-SA"/>
          </w:rPr>
          <w:tab/>
        </w:r>
        <w:r w:rsidR="00477CF6" w:rsidRPr="00EF3351">
          <w:rPr>
            <w:rStyle w:val="Hyperlink"/>
            <w:noProof/>
          </w:rPr>
          <w:t>Decision</w:t>
        </w:r>
        <w:r w:rsidR="00477CF6">
          <w:rPr>
            <w:noProof/>
            <w:webHidden/>
          </w:rPr>
          <w:tab/>
        </w:r>
        <w:r w:rsidR="00477CF6">
          <w:rPr>
            <w:noProof/>
            <w:webHidden/>
          </w:rPr>
          <w:fldChar w:fldCharType="begin"/>
        </w:r>
        <w:r w:rsidR="00477CF6">
          <w:rPr>
            <w:noProof/>
            <w:webHidden/>
          </w:rPr>
          <w:instrText xml:space="preserve"> PAGEREF _Toc493774522 \h </w:instrText>
        </w:r>
        <w:r w:rsidR="00477CF6">
          <w:rPr>
            <w:noProof/>
            <w:webHidden/>
          </w:rPr>
        </w:r>
        <w:r w:rsidR="00477CF6">
          <w:rPr>
            <w:noProof/>
            <w:webHidden/>
          </w:rPr>
          <w:fldChar w:fldCharType="separate"/>
        </w:r>
        <w:r w:rsidR="00477CF6">
          <w:rPr>
            <w:noProof/>
            <w:webHidden/>
          </w:rPr>
          <w:t>5</w:t>
        </w:r>
        <w:r w:rsidR="00477CF6">
          <w:rPr>
            <w:noProof/>
            <w:webHidden/>
          </w:rPr>
          <w:fldChar w:fldCharType="end"/>
        </w:r>
      </w:hyperlink>
    </w:p>
    <w:p w14:paraId="50D5AF2F" w14:textId="77777777" w:rsidR="00477CF6" w:rsidRDefault="00947F3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774523" w:history="1">
        <w:r w:rsidR="00477CF6" w:rsidRPr="00EF3351">
          <w:rPr>
            <w:rStyle w:val="Hyperlink"/>
            <w:noProof/>
          </w:rPr>
          <w:t>2</w:t>
        </w:r>
        <w:r w:rsidR="00477CF6">
          <w:rPr>
            <w:rFonts w:eastAsiaTheme="minorEastAsia" w:cstheme="minorBidi"/>
            <w:b w:val="0"/>
            <w:bCs w:val="0"/>
            <w:caps w:val="0"/>
            <w:noProof/>
            <w:sz w:val="22"/>
            <w:szCs w:val="22"/>
            <w:lang w:eastAsia="en-GB" w:bidi="ar-SA"/>
          </w:rPr>
          <w:tab/>
        </w:r>
        <w:r w:rsidR="00477CF6" w:rsidRPr="00EF3351">
          <w:rPr>
            <w:rStyle w:val="Hyperlink"/>
            <w:noProof/>
          </w:rPr>
          <w:t>Summary of the assessment</w:t>
        </w:r>
        <w:r w:rsidR="00477CF6">
          <w:rPr>
            <w:noProof/>
            <w:webHidden/>
          </w:rPr>
          <w:tab/>
        </w:r>
        <w:r w:rsidR="00477CF6">
          <w:rPr>
            <w:noProof/>
            <w:webHidden/>
          </w:rPr>
          <w:fldChar w:fldCharType="begin"/>
        </w:r>
        <w:r w:rsidR="00477CF6">
          <w:rPr>
            <w:noProof/>
            <w:webHidden/>
          </w:rPr>
          <w:instrText xml:space="preserve"> PAGEREF _Toc493774523 \h </w:instrText>
        </w:r>
        <w:r w:rsidR="00477CF6">
          <w:rPr>
            <w:noProof/>
            <w:webHidden/>
          </w:rPr>
        </w:r>
        <w:r w:rsidR="00477CF6">
          <w:rPr>
            <w:noProof/>
            <w:webHidden/>
          </w:rPr>
          <w:fldChar w:fldCharType="separate"/>
        </w:r>
        <w:r w:rsidR="00477CF6">
          <w:rPr>
            <w:noProof/>
            <w:webHidden/>
          </w:rPr>
          <w:t>5</w:t>
        </w:r>
        <w:r w:rsidR="00477CF6">
          <w:rPr>
            <w:noProof/>
            <w:webHidden/>
          </w:rPr>
          <w:fldChar w:fldCharType="end"/>
        </w:r>
      </w:hyperlink>
    </w:p>
    <w:p w14:paraId="30AE8A32"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24" w:history="1">
        <w:r w:rsidR="00477CF6" w:rsidRPr="00EF3351">
          <w:rPr>
            <w:rStyle w:val="Hyperlink"/>
            <w:noProof/>
          </w:rPr>
          <w:t>2.1</w:t>
        </w:r>
        <w:r w:rsidR="00477CF6">
          <w:rPr>
            <w:rFonts w:eastAsiaTheme="minorEastAsia" w:cstheme="minorBidi"/>
            <w:smallCaps w:val="0"/>
            <w:noProof/>
            <w:sz w:val="22"/>
            <w:szCs w:val="22"/>
            <w:lang w:eastAsia="en-GB" w:bidi="ar-SA"/>
          </w:rPr>
          <w:tab/>
        </w:r>
        <w:r w:rsidR="00477CF6" w:rsidRPr="00EF3351">
          <w:rPr>
            <w:rStyle w:val="Hyperlink"/>
            <w:noProof/>
          </w:rPr>
          <w:t>Summary of issues raised in submissions</w:t>
        </w:r>
        <w:r w:rsidR="00477CF6">
          <w:rPr>
            <w:noProof/>
            <w:webHidden/>
          </w:rPr>
          <w:tab/>
        </w:r>
        <w:r w:rsidR="00477CF6">
          <w:rPr>
            <w:noProof/>
            <w:webHidden/>
          </w:rPr>
          <w:fldChar w:fldCharType="begin"/>
        </w:r>
        <w:r w:rsidR="00477CF6">
          <w:rPr>
            <w:noProof/>
            <w:webHidden/>
          </w:rPr>
          <w:instrText xml:space="preserve"> PAGEREF _Toc493774524 \h </w:instrText>
        </w:r>
        <w:r w:rsidR="00477CF6">
          <w:rPr>
            <w:noProof/>
            <w:webHidden/>
          </w:rPr>
        </w:r>
        <w:r w:rsidR="00477CF6">
          <w:rPr>
            <w:noProof/>
            <w:webHidden/>
          </w:rPr>
          <w:fldChar w:fldCharType="separate"/>
        </w:r>
        <w:r w:rsidR="00477CF6">
          <w:rPr>
            <w:noProof/>
            <w:webHidden/>
          </w:rPr>
          <w:t>5</w:t>
        </w:r>
        <w:r w:rsidR="00477CF6">
          <w:rPr>
            <w:noProof/>
            <w:webHidden/>
          </w:rPr>
          <w:fldChar w:fldCharType="end"/>
        </w:r>
      </w:hyperlink>
    </w:p>
    <w:p w14:paraId="32F87E20"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25" w:history="1">
        <w:r w:rsidR="00477CF6" w:rsidRPr="00EF3351">
          <w:rPr>
            <w:rStyle w:val="Hyperlink"/>
            <w:noProof/>
          </w:rPr>
          <w:t>2.2</w:t>
        </w:r>
        <w:r w:rsidR="00477CF6">
          <w:rPr>
            <w:rFonts w:eastAsiaTheme="minorEastAsia" w:cstheme="minorBidi"/>
            <w:smallCaps w:val="0"/>
            <w:noProof/>
            <w:sz w:val="22"/>
            <w:szCs w:val="22"/>
            <w:lang w:eastAsia="en-GB" w:bidi="ar-SA"/>
          </w:rPr>
          <w:tab/>
        </w:r>
        <w:r w:rsidR="00477CF6" w:rsidRPr="00EF3351">
          <w:rPr>
            <w:rStyle w:val="Hyperlink"/>
            <w:noProof/>
          </w:rPr>
          <w:t>Risk assessment</w:t>
        </w:r>
        <w:r w:rsidR="00477CF6">
          <w:rPr>
            <w:noProof/>
            <w:webHidden/>
          </w:rPr>
          <w:tab/>
        </w:r>
        <w:r w:rsidR="00477CF6">
          <w:rPr>
            <w:noProof/>
            <w:webHidden/>
          </w:rPr>
          <w:fldChar w:fldCharType="begin"/>
        </w:r>
        <w:r w:rsidR="00477CF6">
          <w:rPr>
            <w:noProof/>
            <w:webHidden/>
          </w:rPr>
          <w:instrText xml:space="preserve"> PAGEREF _Toc493774525 \h </w:instrText>
        </w:r>
        <w:r w:rsidR="00477CF6">
          <w:rPr>
            <w:noProof/>
            <w:webHidden/>
          </w:rPr>
        </w:r>
        <w:r w:rsidR="00477CF6">
          <w:rPr>
            <w:noProof/>
            <w:webHidden/>
          </w:rPr>
          <w:fldChar w:fldCharType="separate"/>
        </w:r>
        <w:r w:rsidR="00477CF6">
          <w:rPr>
            <w:noProof/>
            <w:webHidden/>
          </w:rPr>
          <w:t>6</w:t>
        </w:r>
        <w:r w:rsidR="00477CF6">
          <w:rPr>
            <w:noProof/>
            <w:webHidden/>
          </w:rPr>
          <w:fldChar w:fldCharType="end"/>
        </w:r>
      </w:hyperlink>
    </w:p>
    <w:p w14:paraId="020B62ED"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26" w:history="1">
        <w:r w:rsidR="00477CF6" w:rsidRPr="00EF3351">
          <w:rPr>
            <w:rStyle w:val="Hyperlink"/>
            <w:noProof/>
          </w:rPr>
          <w:t>2.2.1</w:t>
        </w:r>
        <w:r w:rsidR="00477CF6">
          <w:rPr>
            <w:rFonts w:eastAsiaTheme="minorEastAsia" w:cstheme="minorBidi"/>
            <w:i w:val="0"/>
            <w:iCs w:val="0"/>
            <w:noProof/>
            <w:sz w:val="22"/>
            <w:szCs w:val="22"/>
            <w:lang w:eastAsia="en-GB" w:bidi="ar-SA"/>
          </w:rPr>
          <w:tab/>
        </w:r>
        <w:r w:rsidR="00477CF6" w:rsidRPr="00EF3351">
          <w:rPr>
            <w:rStyle w:val="Hyperlink"/>
            <w:noProof/>
          </w:rPr>
          <w:t>Overview</w:t>
        </w:r>
        <w:r w:rsidR="00477CF6">
          <w:rPr>
            <w:noProof/>
            <w:webHidden/>
          </w:rPr>
          <w:tab/>
        </w:r>
        <w:r w:rsidR="00477CF6">
          <w:rPr>
            <w:noProof/>
            <w:webHidden/>
          </w:rPr>
          <w:fldChar w:fldCharType="begin"/>
        </w:r>
        <w:r w:rsidR="00477CF6">
          <w:rPr>
            <w:noProof/>
            <w:webHidden/>
          </w:rPr>
          <w:instrText xml:space="preserve"> PAGEREF _Toc493774526 \h </w:instrText>
        </w:r>
        <w:r w:rsidR="00477CF6">
          <w:rPr>
            <w:noProof/>
            <w:webHidden/>
          </w:rPr>
        </w:r>
        <w:r w:rsidR="00477CF6">
          <w:rPr>
            <w:noProof/>
            <w:webHidden/>
          </w:rPr>
          <w:fldChar w:fldCharType="separate"/>
        </w:r>
        <w:r w:rsidR="00477CF6">
          <w:rPr>
            <w:noProof/>
            <w:webHidden/>
          </w:rPr>
          <w:t>6</w:t>
        </w:r>
        <w:r w:rsidR="00477CF6">
          <w:rPr>
            <w:noProof/>
            <w:webHidden/>
          </w:rPr>
          <w:fldChar w:fldCharType="end"/>
        </w:r>
      </w:hyperlink>
    </w:p>
    <w:p w14:paraId="09DED4A6"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27" w:history="1">
        <w:r w:rsidR="00477CF6" w:rsidRPr="00EF3351">
          <w:rPr>
            <w:rStyle w:val="Hyperlink"/>
            <w:noProof/>
          </w:rPr>
          <w:t>2.2.2</w:t>
        </w:r>
        <w:r w:rsidR="00477CF6">
          <w:rPr>
            <w:rFonts w:eastAsiaTheme="minorEastAsia" w:cstheme="minorBidi"/>
            <w:i w:val="0"/>
            <w:iCs w:val="0"/>
            <w:noProof/>
            <w:sz w:val="22"/>
            <w:szCs w:val="22"/>
            <w:lang w:eastAsia="en-GB" w:bidi="ar-SA"/>
          </w:rPr>
          <w:tab/>
        </w:r>
        <w:r w:rsidR="00477CF6" w:rsidRPr="00EF3351">
          <w:rPr>
            <w:rStyle w:val="Hyperlink"/>
            <w:noProof/>
          </w:rPr>
          <w:t>Initial risk assessment</w:t>
        </w:r>
        <w:r w:rsidR="00477CF6">
          <w:rPr>
            <w:noProof/>
            <w:webHidden/>
          </w:rPr>
          <w:tab/>
        </w:r>
        <w:r w:rsidR="00477CF6">
          <w:rPr>
            <w:noProof/>
            <w:webHidden/>
          </w:rPr>
          <w:fldChar w:fldCharType="begin"/>
        </w:r>
        <w:r w:rsidR="00477CF6">
          <w:rPr>
            <w:noProof/>
            <w:webHidden/>
          </w:rPr>
          <w:instrText xml:space="preserve"> PAGEREF _Toc493774527 \h </w:instrText>
        </w:r>
        <w:r w:rsidR="00477CF6">
          <w:rPr>
            <w:noProof/>
            <w:webHidden/>
          </w:rPr>
        </w:r>
        <w:r w:rsidR="00477CF6">
          <w:rPr>
            <w:noProof/>
            <w:webHidden/>
          </w:rPr>
          <w:fldChar w:fldCharType="separate"/>
        </w:r>
        <w:r w:rsidR="00477CF6">
          <w:rPr>
            <w:noProof/>
            <w:webHidden/>
          </w:rPr>
          <w:t>7</w:t>
        </w:r>
        <w:r w:rsidR="00477CF6">
          <w:rPr>
            <w:noProof/>
            <w:webHidden/>
          </w:rPr>
          <w:fldChar w:fldCharType="end"/>
        </w:r>
      </w:hyperlink>
    </w:p>
    <w:p w14:paraId="4490A0C6"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28" w:history="1">
        <w:r w:rsidR="00477CF6" w:rsidRPr="00EF3351">
          <w:rPr>
            <w:rStyle w:val="Hyperlink"/>
            <w:noProof/>
          </w:rPr>
          <w:t>2.2.3</w:t>
        </w:r>
        <w:r w:rsidR="00477CF6">
          <w:rPr>
            <w:rFonts w:eastAsiaTheme="minorEastAsia" w:cstheme="minorBidi"/>
            <w:i w:val="0"/>
            <w:iCs w:val="0"/>
            <w:noProof/>
            <w:sz w:val="22"/>
            <w:szCs w:val="22"/>
            <w:lang w:eastAsia="en-GB" w:bidi="ar-SA"/>
          </w:rPr>
          <w:tab/>
        </w:r>
        <w:r w:rsidR="00477CF6" w:rsidRPr="00EF3351">
          <w:rPr>
            <w:rStyle w:val="Hyperlink"/>
            <w:noProof/>
          </w:rPr>
          <w:t>Updated risk assessment</w:t>
        </w:r>
        <w:r w:rsidR="00477CF6">
          <w:rPr>
            <w:noProof/>
            <w:webHidden/>
          </w:rPr>
          <w:tab/>
        </w:r>
        <w:r w:rsidR="00477CF6">
          <w:rPr>
            <w:noProof/>
            <w:webHidden/>
          </w:rPr>
          <w:fldChar w:fldCharType="begin"/>
        </w:r>
        <w:r w:rsidR="00477CF6">
          <w:rPr>
            <w:noProof/>
            <w:webHidden/>
          </w:rPr>
          <w:instrText xml:space="preserve"> PAGEREF _Toc493774528 \h </w:instrText>
        </w:r>
        <w:r w:rsidR="00477CF6">
          <w:rPr>
            <w:noProof/>
            <w:webHidden/>
          </w:rPr>
        </w:r>
        <w:r w:rsidR="00477CF6">
          <w:rPr>
            <w:noProof/>
            <w:webHidden/>
          </w:rPr>
          <w:fldChar w:fldCharType="separate"/>
        </w:r>
        <w:r w:rsidR="00477CF6">
          <w:rPr>
            <w:noProof/>
            <w:webHidden/>
          </w:rPr>
          <w:t>8</w:t>
        </w:r>
        <w:r w:rsidR="00477CF6">
          <w:rPr>
            <w:noProof/>
            <w:webHidden/>
          </w:rPr>
          <w:fldChar w:fldCharType="end"/>
        </w:r>
      </w:hyperlink>
    </w:p>
    <w:p w14:paraId="7B74ACCD"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29" w:history="1">
        <w:r w:rsidR="00477CF6" w:rsidRPr="00EF3351">
          <w:rPr>
            <w:rStyle w:val="Hyperlink"/>
            <w:noProof/>
          </w:rPr>
          <w:t>2.2.4</w:t>
        </w:r>
        <w:r w:rsidR="00477CF6">
          <w:rPr>
            <w:rFonts w:eastAsiaTheme="minorEastAsia" w:cstheme="minorBidi"/>
            <w:i w:val="0"/>
            <w:iCs w:val="0"/>
            <w:noProof/>
            <w:sz w:val="22"/>
            <w:szCs w:val="22"/>
            <w:lang w:eastAsia="en-GB" w:bidi="ar-SA"/>
          </w:rPr>
          <w:tab/>
        </w:r>
        <w:r w:rsidR="00477CF6" w:rsidRPr="00EF3351">
          <w:rPr>
            <w:rStyle w:val="Hyperlink"/>
            <w:noProof/>
          </w:rPr>
          <w:t>Conclusions</w:t>
        </w:r>
        <w:r w:rsidR="00477CF6">
          <w:rPr>
            <w:noProof/>
            <w:webHidden/>
          </w:rPr>
          <w:tab/>
        </w:r>
        <w:r w:rsidR="00477CF6">
          <w:rPr>
            <w:noProof/>
            <w:webHidden/>
          </w:rPr>
          <w:fldChar w:fldCharType="begin"/>
        </w:r>
        <w:r w:rsidR="00477CF6">
          <w:rPr>
            <w:noProof/>
            <w:webHidden/>
          </w:rPr>
          <w:instrText xml:space="preserve"> PAGEREF _Toc493774529 \h </w:instrText>
        </w:r>
        <w:r w:rsidR="00477CF6">
          <w:rPr>
            <w:noProof/>
            <w:webHidden/>
          </w:rPr>
        </w:r>
        <w:r w:rsidR="00477CF6">
          <w:rPr>
            <w:noProof/>
            <w:webHidden/>
          </w:rPr>
          <w:fldChar w:fldCharType="separate"/>
        </w:r>
        <w:r w:rsidR="00477CF6">
          <w:rPr>
            <w:noProof/>
            <w:webHidden/>
          </w:rPr>
          <w:t>8</w:t>
        </w:r>
        <w:r w:rsidR="00477CF6">
          <w:rPr>
            <w:noProof/>
            <w:webHidden/>
          </w:rPr>
          <w:fldChar w:fldCharType="end"/>
        </w:r>
      </w:hyperlink>
    </w:p>
    <w:p w14:paraId="46162012"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30" w:history="1">
        <w:r w:rsidR="00477CF6" w:rsidRPr="00EF3351">
          <w:rPr>
            <w:rStyle w:val="Hyperlink"/>
            <w:noProof/>
          </w:rPr>
          <w:t>2.3</w:t>
        </w:r>
        <w:r w:rsidR="00477CF6">
          <w:rPr>
            <w:rFonts w:eastAsiaTheme="minorEastAsia" w:cstheme="minorBidi"/>
            <w:smallCaps w:val="0"/>
            <w:noProof/>
            <w:sz w:val="22"/>
            <w:szCs w:val="22"/>
            <w:lang w:eastAsia="en-GB" w:bidi="ar-SA"/>
          </w:rPr>
          <w:tab/>
        </w:r>
        <w:r w:rsidR="00477CF6" w:rsidRPr="00EF3351">
          <w:rPr>
            <w:rStyle w:val="Hyperlink"/>
            <w:noProof/>
          </w:rPr>
          <w:t>Risk management</w:t>
        </w:r>
        <w:r w:rsidR="00477CF6">
          <w:rPr>
            <w:noProof/>
            <w:webHidden/>
          </w:rPr>
          <w:tab/>
        </w:r>
        <w:r w:rsidR="00477CF6">
          <w:rPr>
            <w:noProof/>
            <w:webHidden/>
          </w:rPr>
          <w:fldChar w:fldCharType="begin"/>
        </w:r>
        <w:r w:rsidR="00477CF6">
          <w:rPr>
            <w:noProof/>
            <w:webHidden/>
          </w:rPr>
          <w:instrText xml:space="preserve"> PAGEREF _Toc493774530 \h </w:instrText>
        </w:r>
        <w:r w:rsidR="00477CF6">
          <w:rPr>
            <w:noProof/>
            <w:webHidden/>
          </w:rPr>
        </w:r>
        <w:r w:rsidR="00477CF6">
          <w:rPr>
            <w:noProof/>
            <w:webHidden/>
          </w:rPr>
          <w:fldChar w:fldCharType="separate"/>
        </w:r>
        <w:r w:rsidR="00477CF6">
          <w:rPr>
            <w:noProof/>
            <w:webHidden/>
          </w:rPr>
          <w:t>8</w:t>
        </w:r>
        <w:r w:rsidR="00477CF6">
          <w:rPr>
            <w:noProof/>
            <w:webHidden/>
          </w:rPr>
          <w:fldChar w:fldCharType="end"/>
        </w:r>
      </w:hyperlink>
    </w:p>
    <w:p w14:paraId="59D92615"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1" w:history="1">
        <w:r w:rsidR="00477CF6" w:rsidRPr="00EF3351">
          <w:rPr>
            <w:rStyle w:val="Hyperlink"/>
            <w:noProof/>
          </w:rPr>
          <w:t>2.3.1</w:t>
        </w:r>
        <w:r w:rsidR="00477CF6">
          <w:rPr>
            <w:rFonts w:eastAsiaTheme="minorEastAsia" w:cstheme="minorBidi"/>
            <w:i w:val="0"/>
            <w:iCs w:val="0"/>
            <w:noProof/>
            <w:sz w:val="22"/>
            <w:szCs w:val="22"/>
            <w:lang w:eastAsia="en-GB" w:bidi="ar-SA"/>
          </w:rPr>
          <w:tab/>
        </w:r>
        <w:r w:rsidR="00477CF6" w:rsidRPr="00EF3351">
          <w:rPr>
            <w:rStyle w:val="Hyperlink"/>
            <w:noProof/>
          </w:rPr>
          <w:t>General approach to risk management</w:t>
        </w:r>
        <w:r w:rsidR="00477CF6">
          <w:rPr>
            <w:noProof/>
            <w:webHidden/>
          </w:rPr>
          <w:tab/>
        </w:r>
        <w:r w:rsidR="00477CF6">
          <w:rPr>
            <w:noProof/>
            <w:webHidden/>
          </w:rPr>
          <w:fldChar w:fldCharType="begin"/>
        </w:r>
        <w:r w:rsidR="00477CF6">
          <w:rPr>
            <w:noProof/>
            <w:webHidden/>
          </w:rPr>
          <w:instrText xml:space="preserve"> PAGEREF _Toc493774531 \h </w:instrText>
        </w:r>
        <w:r w:rsidR="00477CF6">
          <w:rPr>
            <w:noProof/>
            <w:webHidden/>
          </w:rPr>
        </w:r>
        <w:r w:rsidR="00477CF6">
          <w:rPr>
            <w:noProof/>
            <w:webHidden/>
          </w:rPr>
          <w:fldChar w:fldCharType="separate"/>
        </w:r>
        <w:r w:rsidR="00477CF6">
          <w:rPr>
            <w:noProof/>
            <w:webHidden/>
          </w:rPr>
          <w:t>8</w:t>
        </w:r>
        <w:r w:rsidR="00477CF6">
          <w:rPr>
            <w:noProof/>
            <w:webHidden/>
          </w:rPr>
          <w:fldChar w:fldCharType="end"/>
        </w:r>
      </w:hyperlink>
    </w:p>
    <w:p w14:paraId="7A96E1C5"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2" w:history="1">
        <w:r w:rsidR="00477CF6" w:rsidRPr="00EF3351">
          <w:rPr>
            <w:rStyle w:val="Hyperlink"/>
            <w:noProof/>
          </w:rPr>
          <w:t>2.3.2</w:t>
        </w:r>
        <w:r w:rsidR="00477CF6">
          <w:rPr>
            <w:rFonts w:eastAsiaTheme="minorEastAsia" w:cstheme="minorBidi"/>
            <w:i w:val="0"/>
            <w:iCs w:val="0"/>
            <w:noProof/>
            <w:sz w:val="22"/>
            <w:szCs w:val="22"/>
            <w:lang w:eastAsia="en-GB" w:bidi="ar-SA"/>
          </w:rPr>
          <w:tab/>
        </w:r>
        <w:r w:rsidR="00477CF6" w:rsidRPr="00EF3351">
          <w:rPr>
            <w:rStyle w:val="Hyperlink"/>
            <w:noProof/>
          </w:rPr>
          <w:t>Determination of residual risk</w:t>
        </w:r>
        <w:r w:rsidR="00477CF6">
          <w:rPr>
            <w:noProof/>
            <w:webHidden/>
          </w:rPr>
          <w:tab/>
        </w:r>
        <w:r w:rsidR="00477CF6">
          <w:rPr>
            <w:noProof/>
            <w:webHidden/>
          </w:rPr>
          <w:fldChar w:fldCharType="begin"/>
        </w:r>
        <w:r w:rsidR="00477CF6">
          <w:rPr>
            <w:noProof/>
            <w:webHidden/>
          </w:rPr>
          <w:instrText xml:space="preserve"> PAGEREF _Toc493774532 \h </w:instrText>
        </w:r>
        <w:r w:rsidR="00477CF6">
          <w:rPr>
            <w:noProof/>
            <w:webHidden/>
          </w:rPr>
        </w:r>
        <w:r w:rsidR="00477CF6">
          <w:rPr>
            <w:noProof/>
            <w:webHidden/>
          </w:rPr>
          <w:fldChar w:fldCharType="separate"/>
        </w:r>
        <w:r w:rsidR="00477CF6">
          <w:rPr>
            <w:noProof/>
            <w:webHidden/>
          </w:rPr>
          <w:t>9</w:t>
        </w:r>
        <w:r w:rsidR="00477CF6">
          <w:rPr>
            <w:noProof/>
            <w:webHidden/>
          </w:rPr>
          <w:fldChar w:fldCharType="end"/>
        </w:r>
      </w:hyperlink>
    </w:p>
    <w:p w14:paraId="09604339"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3" w:history="1">
        <w:r w:rsidR="00477CF6" w:rsidRPr="00EF3351">
          <w:rPr>
            <w:rStyle w:val="Hyperlink"/>
            <w:noProof/>
          </w:rPr>
          <w:t>2.3.3</w:t>
        </w:r>
        <w:r w:rsidR="00477CF6">
          <w:rPr>
            <w:rFonts w:eastAsiaTheme="minorEastAsia" w:cstheme="minorBidi"/>
            <w:i w:val="0"/>
            <w:iCs w:val="0"/>
            <w:noProof/>
            <w:sz w:val="22"/>
            <w:szCs w:val="22"/>
            <w:lang w:eastAsia="en-GB" w:bidi="ar-SA"/>
          </w:rPr>
          <w:tab/>
        </w:r>
        <w:r w:rsidR="00477CF6" w:rsidRPr="00EF3351">
          <w:rPr>
            <w:rStyle w:val="Hyperlink"/>
            <w:noProof/>
          </w:rPr>
          <w:t>Risk management options: graduated approach</w:t>
        </w:r>
        <w:r w:rsidR="00477CF6">
          <w:rPr>
            <w:noProof/>
            <w:webHidden/>
          </w:rPr>
          <w:tab/>
        </w:r>
        <w:r w:rsidR="00477CF6">
          <w:rPr>
            <w:noProof/>
            <w:webHidden/>
          </w:rPr>
          <w:fldChar w:fldCharType="begin"/>
        </w:r>
        <w:r w:rsidR="00477CF6">
          <w:rPr>
            <w:noProof/>
            <w:webHidden/>
          </w:rPr>
          <w:instrText xml:space="preserve"> PAGEREF _Toc493774533 \h </w:instrText>
        </w:r>
        <w:r w:rsidR="00477CF6">
          <w:rPr>
            <w:noProof/>
            <w:webHidden/>
          </w:rPr>
        </w:r>
        <w:r w:rsidR="00477CF6">
          <w:rPr>
            <w:noProof/>
            <w:webHidden/>
          </w:rPr>
          <w:fldChar w:fldCharType="separate"/>
        </w:r>
        <w:r w:rsidR="00477CF6">
          <w:rPr>
            <w:noProof/>
            <w:webHidden/>
          </w:rPr>
          <w:t>10</w:t>
        </w:r>
        <w:r w:rsidR="00477CF6">
          <w:rPr>
            <w:noProof/>
            <w:webHidden/>
          </w:rPr>
          <w:fldChar w:fldCharType="end"/>
        </w:r>
      </w:hyperlink>
    </w:p>
    <w:p w14:paraId="4CFF9089"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4" w:history="1">
        <w:r w:rsidR="00477CF6" w:rsidRPr="00EF3351">
          <w:rPr>
            <w:rStyle w:val="Hyperlink"/>
            <w:noProof/>
          </w:rPr>
          <w:t>2.3.4</w:t>
        </w:r>
        <w:r w:rsidR="00477CF6">
          <w:rPr>
            <w:rFonts w:eastAsiaTheme="minorEastAsia" w:cstheme="minorBidi"/>
            <w:i w:val="0"/>
            <w:iCs w:val="0"/>
            <w:noProof/>
            <w:sz w:val="22"/>
            <w:szCs w:val="22"/>
            <w:lang w:eastAsia="en-GB" w:bidi="ar-SA"/>
          </w:rPr>
          <w:tab/>
        </w:r>
        <w:r w:rsidR="00477CF6" w:rsidRPr="00EF3351">
          <w:rPr>
            <w:rStyle w:val="Hyperlink"/>
            <w:noProof/>
          </w:rPr>
          <w:t>Non-regulatory risk management - the food packaging information guide</w:t>
        </w:r>
        <w:r w:rsidR="00477CF6">
          <w:rPr>
            <w:noProof/>
            <w:webHidden/>
          </w:rPr>
          <w:tab/>
        </w:r>
        <w:r w:rsidR="00477CF6">
          <w:rPr>
            <w:noProof/>
            <w:webHidden/>
          </w:rPr>
          <w:fldChar w:fldCharType="begin"/>
        </w:r>
        <w:r w:rsidR="00477CF6">
          <w:rPr>
            <w:noProof/>
            <w:webHidden/>
          </w:rPr>
          <w:instrText xml:space="preserve"> PAGEREF _Toc493774534 \h </w:instrText>
        </w:r>
        <w:r w:rsidR="00477CF6">
          <w:rPr>
            <w:noProof/>
            <w:webHidden/>
          </w:rPr>
        </w:r>
        <w:r w:rsidR="00477CF6">
          <w:rPr>
            <w:noProof/>
            <w:webHidden/>
          </w:rPr>
          <w:fldChar w:fldCharType="separate"/>
        </w:r>
        <w:r w:rsidR="00477CF6">
          <w:rPr>
            <w:noProof/>
            <w:webHidden/>
          </w:rPr>
          <w:t>11</w:t>
        </w:r>
        <w:r w:rsidR="00477CF6">
          <w:rPr>
            <w:noProof/>
            <w:webHidden/>
          </w:rPr>
          <w:fldChar w:fldCharType="end"/>
        </w:r>
      </w:hyperlink>
    </w:p>
    <w:p w14:paraId="0358C5C5"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5" w:history="1">
        <w:r w:rsidR="00477CF6" w:rsidRPr="00EF3351">
          <w:rPr>
            <w:rStyle w:val="Hyperlink"/>
            <w:noProof/>
          </w:rPr>
          <w:t>2.3.5</w:t>
        </w:r>
        <w:r w:rsidR="00477CF6">
          <w:rPr>
            <w:rFonts w:eastAsiaTheme="minorEastAsia" w:cstheme="minorBidi"/>
            <w:i w:val="0"/>
            <w:iCs w:val="0"/>
            <w:noProof/>
            <w:sz w:val="22"/>
            <w:szCs w:val="22"/>
            <w:lang w:eastAsia="en-GB" w:bidi="ar-SA"/>
          </w:rPr>
          <w:tab/>
        </w:r>
        <w:r w:rsidR="00477CF6" w:rsidRPr="00EF3351">
          <w:rPr>
            <w:rStyle w:val="Hyperlink"/>
            <w:noProof/>
          </w:rPr>
          <w:t>Conclusion</w:t>
        </w:r>
        <w:r w:rsidR="00477CF6">
          <w:rPr>
            <w:noProof/>
            <w:webHidden/>
          </w:rPr>
          <w:tab/>
        </w:r>
        <w:r w:rsidR="00477CF6">
          <w:rPr>
            <w:noProof/>
            <w:webHidden/>
          </w:rPr>
          <w:fldChar w:fldCharType="begin"/>
        </w:r>
        <w:r w:rsidR="00477CF6">
          <w:rPr>
            <w:noProof/>
            <w:webHidden/>
          </w:rPr>
          <w:instrText xml:space="preserve"> PAGEREF _Toc493774535 \h </w:instrText>
        </w:r>
        <w:r w:rsidR="00477CF6">
          <w:rPr>
            <w:noProof/>
            <w:webHidden/>
          </w:rPr>
        </w:r>
        <w:r w:rsidR="00477CF6">
          <w:rPr>
            <w:noProof/>
            <w:webHidden/>
          </w:rPr>
          <w:fldChar w:fldCharType="separate"/>
        </w:r>
        <w:r w:rsidR="00477CF6">
          <w:rPr>
            <w:noProof/>
            <w:webHidden/>
          </w:rPr>
          <w:t>12</w:t>
        </w:r>
        <w:r w:rsidR="00477CF6">
          <w:rPr>
            <w:noProof/>
            <w:webHidden/>
          </w:rPr>
          <w:fldChar w:fldCharType="end"/>
        </w:r>
      </w:hyperlink>
    </w:p>
    <w:p w14:paraId="7FA7BC8D"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36" w:history="1">
        <w:r w:rsidR="00477CF6" w:rsidRPr="00EF3351">
          <w:rPr>
            <w:rStyle w:val="Hyperlink"/>
            <w:noProof/>
          </w:rPr>
          <w:t>2.4</w:t>
        </w:r>
        <w:r w:rsidR="00477CF6">
          <w:rPr>
            <w:rFonts w:eastAsiaTheme="minorEastAsia" w:cstheme="minorBidi"/>
            <w:smallCaps w:val="0"/>
            <w:noProof/>
            <w:sz w:val="22"/>
            <w:szCs w:val="22"/>
            <w:lang w:eastAsia="en-GB" w:bidi="ar-SA"/>
          </w:rPr>
          <w:tab/>
        </w:r>
        <w:r w:rsidR="00477CF6" w:rsidRPr="00EF3351">
          <w:rPr>
            <w:rStyle w:val="Hyperlink"/>
            <w:noProof/>
          </w:rPr>
          <w:t>Risk communication</w:t>
        </w:r>
        <w:r w:rsidR="00477CF6">
          <w:rPr>
            <w:noProof/>
            <w:webHidden/>
          </w:rPr>
          <w:tab/>
        </w:r>
        <w:r w:rsidR="00477CF6">
          <w:rPr>
            <w:noProof/>
            <w:webHidden/>
          </w:rPr>
          <w:fldChar w:fldCharType="begin"/>
        </w:r>
        <w:r w:rsidR="00477CF6">
          <w:rPr>
            <w:noProof/>
            <w:webHidden/>
          </w:rPr>
          <w:instrText xml:space="preserve"> PAGEREF _Toc493774536 \h </w:instrText>
        </w:r>
        <w:r w:rsidR="00477CF6">
          <w:rPr>
            <w:noProof/>
            <w:webHidden/>
          </w:rPr>
        </w:r>
        <w:r w:rsidR="00477CF6">
          <w:rPr>
            <w:noProof/>
            <w:webHidden/>
          </w:rPr>
          <w:fldChar w:fldCharType="separate"/>
        </w:r>
        <w:r w:rsidR="00477CF6">
          <w:rPr>
            <w:noProof/>
            <w:webHidden/>
          </w:rPr>
          <w:t>13</w:t>
        </w:r>
        <w:r w:rsidR="00477CF6">
          <w:rPr>
            <w:noProof/>
            <w:webHidden/>
          </w:rPr>
          <w:fldChar w:fldCharType="end"/>
        </w:r>
      </w:hyperlink>
    </w:p>
    <w:p w14:paraId="60F970F2"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7" w:history="1">
        <w:r w:rsidR="00477CF6" w:rsidRPr="00EF3351">
          <w:rPr>
            <w:rStyle w:val="Hyperlink"/>
            <w:noProof/>
          </w:rPr>
          <w:t>2.4.1</w:t>
        </w:r>
        <w:r w:rsidR="00477CF6">
          <w:rPr>
            <w:rFonts w:eastAsiaTheme="minorEastAsia" w:cstheme="minorBidi"/>
            <w:i w:val="0"/>
            <w:iCs w:val="0"/>
            <w:noProof/>
            <w:sz w:val="22"/>
            <w:szCs w:val="22"/>
            <w:lang w:eastAsia="en-GB" w:bidi="ar-SA"/>
          </w:rPr>
          <w:tab/>
        </w:r>
        <w:r w:rsidR="00477CF6" w:rsidRPr="00EF3351">
          <w:rPr>
            <w:rStyle w:val="Hyperlink"/>
            <w:noProof/>
          </w:rPr>
          <w:t>Consultation</w:t>
        </w:r>
        <w:r w:rsidR="00477CF6">
          <w:rPr>
            <w:noProof/>
            <w:webHidden/>
          </w:rPr>
          <w:tab/>
        </w:r>
        <w:r w:rsidR="00477CF6">
          <w:rPr>
            <w:noProof/>
            <w:webHidden/>
          </w:rPr>
          <w:fldChar w:fldCharType="begin"/>
        </w:r>
        <w:r w:rsidR="00477CF6">
          <w:rPr>
            <w:noProof/>
            <w:webHidden/>
          </w:rPr>
          <w:instrText xml:space="preserve"> PAGEREF _Toc493774537 \h </w:instrText>
        </w:r>
        <w:r w:rsidR="00477CF6">
          <w:rPr>
            <w:noProof/>
            <w:webHidden/>
          </w:rPr>
        </w:r>
        <w:r w:rsidR="00477CF6">
          <w:rPr>
            <w:noProof/>
            <w:webHidden/>
          </w:rPr>
          <w:fldChar w:fldCharType="separate"/>
        </w:r>
        <w:r w:rsidR="00477CF6">
          <w:rPr>
            <w:noProof/>
            <w:webHidden/>
          </w:rPr>
          <w:t>13</w:t>
        </w:r>
        <w:r w:rsidR="00477CF6">
          <w:rPr>
            <w:noProof/>
            <w:webHidden/>
          </w:rPr>
          <w:fldChar w:fldCharType="end"/>
        </w:r>
      </w:hyperlink>
    </w:p>
    <w:p w14:paraId="5C6EDA31"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38" w:history="1">
        <w:r w:rsidR="00477CF6" w:rsidRPr="00EF3351">
          <w:rPr>
            <w:rStyle w:val="Hyperlink"/>
            <w:noProof/>
          </w:rPr>
          <w:t>2.4.2</w:t>
        </w:r>
        <w:r w:rsidR="00477CF6">
          <w:rPr>
            <w:rFonts w:eastAsiaTheme="minorEastAsia" w:cstheme="minorBidi"/>
            <w:i w:val="0"/>
            <w:iCs w:val="0"/>
            <w:noProof/>
            <w:sz w:val="22"/>
            <w:szCs w:val="22"/>
            <w:lang w:eastAsia="en-GB" w:bidi="ar-SA"/>
          </w:rPr>
          <w:tab/>
        </w:r>
        <w:r w:rsidR="00477CF6" w:rsidRPr="00EF3351">
          <w:rPr>
            <w:rStyle w:val="Hyperlink"/>
            <w:noProof/>
          </w:rPr>
          <w:t>Communication strategy</w:t>
        </w:r>
        <w:r w:rsidR="00477CF6">
          <w:rPr>
            <w:noProof/>
            <w:webHidden/>
          </w:rPr>
          <w:tab/>
        </w:r>
        <w:r w:rsidR="00477CF6">
          <w:rPr>
            <w:noProof/>
            <w:webHidden/>
          </w:rPr>
          <w:fldChar w:fldCharType="begin"/>
        </w:r>
        <w:r w:rsidR="00477CF6">
          <w:rPr>
            <w:noProof/>
            <w:webHidden/>
          </w:rPr>
          <w:instrText xml:space="preserve"> PAGEREF _Toc493774538 \h </w:instrText>
        </w:r>
        <w:r w:rsidR="00477CF6">
          <w:rPr>
            <w:noProof/>
            <w:webHidden/>
          </w:rPr>
        </w:r>
        <w:r w:rsidR="00477CF6">
          <w:rPr>
            <w:noProof/>
            <w:webHidden/>
          </w:rPr>
          <w:fldChar w:fldCharType="separate"/>
        </w:r>
        <w:r w:rsidR="00477CF6">
          <w:rPr>
            <w:noProof/>
            <w:webHidden/>
          </w:rPr>
          <w:t>13</w:t>
        </w:r>
        <w:r w:rsidR="00477CF6">
          <w:rPr>
            <w:noProof/>
            <w:webHidden/>
          </w:rPr>
          <w:fldChar w:fldCharType="end"/>
        </w:r>
      </w:hyperlink>
    </w:p>
    <w:p w14:paraId="23B56152" w14:textId="77777777" w:rsidR="00477CF6" w:rsidRDefault="00947F3E">
      <w:pPr>
        <w:pStyle w:val="TOC2"/>
        <w:tabs>
          <w:tab w:val="left" w:pos="880"/>
          <w:tab w:val="right" w:leader="dot" w:pos="9060"/>
        </w:tabs>
        <w:rPr>
          <w:rFonts w:eastAsiaTheme="minorEastAsia" w:cstheme="minorBidi"/>
          <w:smallCaps w:val="0"/>
          <w:noProof/>
          <w:sz w:val="22"/>
          <w:szCs w:val="22"/>
          <w:lang w:eastAsia="en-GB" w:bidi="ar-SA"/>
        </w:rPr>
      </w:pPr>
      <w:hyperlink w:anchor="_Toc493774539" w:history="1">
        <w:r w:rsidR="00477CF6" w:rsidRPr="00EF3351">
          <w:rPr>
            <w:rStyle w:val="Hyperlink"/>
            <w:noProof/>
          </w:rPr>
          <w:t>2.5</w:t>
        </w:r>
        <w:r w:rsidR="00477CF6">
          <w:rPr>
            <w:rFonts w:eastAsiaTheme="minorEastAsia" w:cstheme="minorBidi"/>
            <w:smallCaps w:val="0"/>
            <w:noProof/>
            <w:sz w:val="22"/>
            <w:szCs w:val="22"/>
            <w:lang w:eastAsia="en-GB" w:bidi="ar-SA"/>
          </w:rPr>
          <w:tab/>
        </w:r>
        <w:r w:rsidR="00477CF6" w:rsidRPr="00EF3351">
          <w:rPr>
            <w:rStyle w:val="Hyperlink"/>
            <w:noProof/>
          </w:rPr>
          <w:t>FSANZ Act assessment requirements</w:t>
        </w:r>
        <w:r w:rsidR="00477CF6">
          <w:rPr>
            <w:noProof/>
            <w:webHidden/>
          </w:rPr>
          <w:tab/>
        </w:r>
        <w:r w:rsidR="00477CF6">
          <w:rPr>
            <w:noProof/>
            <w:webHidden/>
          </w:rPr>
          <w:fldChar w:fldCharType="begin"/>
        </w:r>
        <w:r w:rsidR="00477CF6">
          <w:rPr>
            <w:noProof/>
            <w:webHidden/>
          </w:rPr>
          <w:instrText xml:space="preserve"> PAGEREF _Toc493774539 \h </w:instrText>
        </w:r>
        <w:r w:rsidR="00477CF6">
          <w:rPr>
            <w:noProof/>
            <w:webHidden/>
          </w:rPr>
        </w:r>
        <w:r w:rsidR="00477CF6">
          <w:rPr>
            <w:noProof/>
            <w:webHidden/>
          </w:rPr>
          <w:fldChar w:fldCharType="separate"/>
        </w:r>
        <w:r w:rsidR="00477CF6">
          <w:rPr>
            <w:noProof/>
            <w:webHidden/>
          </w:rPr>
          <w:t>13</w:t>
        </w:r>
        <w:r w:rsidR="00477CF6">
          <w:rPr>
            <w:noProof/>
            <w:webHidden/>
          </w:rPr>
          <w:fldChar w:fldCharType="end"/>
        </w:r>
      </w:hyperlink>
    </w:p>
    <w:p w14:paraId="00634043"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40" w:history="1">
        <w:r w:rsidR="00477CF6" w:rsidRPr="00EF3351">
          <w:rPr>
            <w:rStyle w:val="Hyperlink"/>
            <w:noProof/>
          </w:rPr>
          <w:t>2.5.1</w:t>
        </w:r>
        <w:r w:rsidR="00477CF6">
          <w:rPr>
            <w:rFonts w:eastAsiaTheme="minorEastAsia" w:cstheme="minorBidi"/>
            <w:i w:val="0"/>
            <w:iCs w:val="0"/>
            <w:noProof/>
            <w:sz w:val="22"/>
            <w:szCs w:val="22"/>
            <w:lang w:eastAsia="en-GB" w:bidi="ar-SA"/>
          </w:rPr>
          <w:tab/>
        </w:r>
        <w:r w:rsidR="00477CF6" w:rsidRPr="00EF3351">
          <w:rPr>
            <w:rStyle w:val="Hyperlink"/>
            <w:noProof/>
          </w:rPr>
          <w:t>Section 59</w:t>
        </w:r>
        <w:r w:rsidR="00477CF6">
          <w:rPr>
            <w:noProof/>
            <w:webHidden/>
          </w:rPr>
          <w:tab/>
        </w:r>
        <w:r w:rsidR="00477CF6">
          <w:rPr>
            <w:noProof/>
            <w:webHidden/>
          </w:rPr>
          <w:fldChar w:fldCharType="begin"/>
        </w:r>
        <w:r w:rsidR="00477CF6">
          <w:rPr>
            <w:noProof/>
            <w:webHidden/>
          </w:rPr>
          <w:instrText xml:space="preserve"> PAGEREF _Toc493774540 \h </w:instrText>
        </w:r>
        <w:r w:rsidR="00477CF6">
          <w:rPr>
            <w:noProof/>
            <w:webHidden/>
          </w:rPr>
        </w:r>
        <w:r w:rsidR="00477CF6">
          <w:rPr>
            <w:noProof/>
            <w:webHidden/>
          </w:rPr>
          <w:fldChar w:fldCharType="separate"/>
        </w:r>
        <w:r w:rsidR="00477CF6">
          <w:rPr>
            <w:noProof/>
            <w:webHidden/>
          </w:rPr>
          <w:t>13</w:t>
        </w:r>
        <w:r w:rsidR="00477CF6">
          <w:rPr>
            <w:noProof/>
            <w:webHidden/>
          </w:rPr>
          <w:fldChar w:fldCharType="end"/>
        </w:r>
      </w:hyperlink>
    </w:p>
    <w:p w14:paraId="7AA50A07"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41" w:history="1">
        <w:r w:rsidR="00477CF6" w:rsidRPr="00EF3351">
          <w:rPr>
            <w:rStyle w:val="Hyperlink"/>
            <w:noProof/>
          </w:rPr>
          <w:t>2.5.2</w:t>
        </w:r>
        <w:r w:rsidR="00477CF6">
          <w:rPr>
            <w:rFonts w:eastAsiaTheme="minorEastAsia" w:cstheme="minorBidi"/>
            <w:i w:val="0"/>
            <w:iCs w:val="0"/>
            <w:noProof/>
            <w:sz w:val="22"/>
            <w:szCs w:val="22"/>
            <w:lang w:eastAsia="en-GB" w:bidi="ar-SA"/>
          </w:rPr>
          <w:tab/>
        </w:r>
        <w:r w:rsidR="00477CF6" w:rsidRPr="00EF3351">
          <w:rPr>
            <w:rStyle w:val="Hyperlink"/>
            <w:noProof/>
          </w:rPr>
          <w:t>Subsection 18(1)</w:t>
        </w:r>
        <w:r w:rsidR="00477CF6">
          <w:rPr>
            <w:noProof/>
            <w:webHidden/>
          </w:rPr>
          <w:tab/>
        </w:r>
        <w:r w:rsidR="00477CF6">
          <w:rPr>
            <w:noProof/>
            <w:webHidden/>
          </w:rPr>
          <w:fldChar w:fldCharType="begin"/>
        </w:r>
        <w:r w:rsidR="00477CF6">
          <w:rPr>
            <w:noProof/>
            <w:webHidden/>
          </w:rPr>
          <w:instrText xml:space="preserve"> PAGEREF _Toc493774541 \h </w:instrText>
        </w:r>
        <w:r w:rsidR="00477CF6">
          <w:rPr>
            <w:noProof/>
            <w:webHidden/>
          </w:rPr>
        </w:r>
        <w:r w:rsidR="00477CF6">
          <w:rPr>
            <w:noProof/>
            <w:webHidden/>
          </w:rPr>
          <w:fldChar w:fldCharType="separate"/>
        </w:r>
        <w:r w:rsidR="00477CF6">
          <w:rPr>
            <w:noProof/>
            <w:webHidden/>
          </w:rPr>
          <w:t>14</w:t>
        </w:r>
        <w:r w:rsidR="00477CF6">
          <w:rPr>
            <w:noProof/>
            <w:webHidden/>
          </w:rPr>
          <w:fldChar w:fldCharType="end"/>
        </w:r>
      </w:hyperlink>
    </w:p>
    <w:p w14:paraId="287E9785" w14:textId="77777777" w:rsidR="00477CF6" w:rsidRDefault="00947F3E">
      <w:pPr>
        <w:pStyle w:val="TOC3"/>
        <w:tabs>
          <w:tab w:val="left" w:pos="1100"/>
          <w:tab w:val="right" w:leader="dot" w:pos="9060"/>
        </w:tabs>
        <w:rPr>
          <w:rFonts w:eastAsiaTheme="minorEastAsia" w:cstheme="minorBidi"/>
          <w:i w:val="0"/>
          <w:iCs w:val="0"/>
          <w:noProof/>
          <w:sz w:val="22"/>
          <w:szCs w:val="22"/>
          <w:lang w:eastAsia="en-GB" w:bidi="ar-SA"/>
        </w:rPr>
      </w:pPr>
      <w:hyperlink w:anchor="_Toc493774542" w:history="1">
        <w:r w:rsidR="00477CF6" w:rsidRPr="00EF3351">
          <w:rPr>
            <w:rStyle w:val="Hyperlink"/>
            <w:noProof/>
          </w:rPr>
          <w:t>2.5.3</w:t>
        </w:r>
        <w:r w:rsidR="00477CF6">
          <w:rPr>
            <w:rFonts w:eastAsiaTheme="minorEastAsia" w:cstheme="minorBidi"/>
            <w:i w:val="0"/>
            <w:iCs w:val="0"/>
            <w:noProof/>
            <w:sz w:val="22"/>
            <w:szCs w:val="22"/>
            <w:lang w:eastAsia="en-GB" w:bidi="ar-SA"/>
          </w:rPr>
          <w:tab/>
        </w:r>
        <w:r w:rsidR="00477CF6" w:rsidRPr="00EF3351">
          <w:rPr>
            <w:rStyle w:val="Hyperlink"/>
            <w:noProof/>
          </w:rPr>
          <w:t>Subsection 18(2) considerations</w:t>
        </w:r>
        <w:r w:rsidR="00477CF6">
          <w:rPr>
            <w:noProof/>
            <w:webHidden/>
          </w:rPr>
          <w:tab/>
        </w:r>
        <w:r w:rsidR="00477CF6">
          <w:rPr>
            <w:noProof/>
            <w:webHidden/>
          </w:rPr>
          <w:fldChar w:fldCharType="begin"/>
        </w:r>
        <w:r w:rsidR="00477CF6">
          <w:rPr>
            <w:noProof/>
            <w:webHidden/>
          </w:rPr>
          <w:instrText xml:space="preserve"> PAGEREF _Toc493774542 \h </w:instrText>
        </w:r>
        <w:r w:rsidR="00477CF6">
          <w:rPr>
            <w:noProof/>
            <w:webHidden/>
          </w:rPr>
        </w:r>
        <w:r w:rsidR="00477CF6">
          <w:rPr>
            <w:noProof/>
            <w:webHidden/>
          </w:rPr>
          <w:fldChar w:fldCharType="separate"/>
        </w:r>
        <w:r w:rsidR="00477CF6">
          <w:rPr>
            <w:noProof/>
            <w:webHidden/>
          </w:rPr>
          <w:t>15</w:t>
        </w:r>
        <w:r w:rsidR="00477CF6">
          <w:rPr>
            <w:noProof/>
            <w:webHidden/>
          </w:rPr>
          <w:fldChar w:fldCharType="end"/>
        </w:r>
      </w:hyperlink>
    </w:p>
    <w:p w14:paraId="1B879D77" w14:textId="77777777" w:rsidR="00477CF6" w:rsidRDefault="00947F3E">
      <w:pPr>
        <w:pStyle w:val="TOC1"/>
        <w:tabs>
          <w:tab w:val="left" w:pos="440"/>
          <w:tab w:val="right" w:leader="dot" w:pos="9060"/>
        </w:tabs>
        <w:rPr>
          <w:rFonts w:eastAsiaTheme="minorEastAsia" w:cstheme="minorBidi"/>
          <w:b w:val="0"/>
          <w:bCs w:val="0"/>
          <w:caps w:val="0"/>
          <w:noProof/>
          <w:sz w:val="22"/>
          <w:szCs w:val="22"/>
          <w:lang w:eastAsia="en-GB" w:bidi="ar-SA"/>
        </w:rPr>
      </w:pPr>
      <w:hyperlink w:anchor="_Toc493774543" w:history="1">
        <w:r w:rsidR="00477CF6" w:rsidRPr="00EF3351">
          <w:rPr>
            <w:rStyle w:val="Hyperlink"/>
            <w:noProof/>
          </w:rPr>
          <w:t>3</w:t>
        </w:r>
        <w:r w:rsidR="00477CF6">
          <w:rPr>
            <w:rFonts w:eastAsiaTheme="minorEastAsia" w:cstheme="minorBidi"/>
            <w:b w:val="0"/>
            <w:bCs w:val="0"/>
            <w:caps w:val="0"/>
            <w:noProof/>
            <w:sz w:val="22"/>
            <w:szCs w:val="22"/>
            <w:lang w:eastAsia="en-GB" w:bidi="ar-SA"/>
          </w:rPr>
          <w:tab/>
        </w:r>
        <w:r w:rsidR="00477CF6" w:rsidRPr="00EF3351">
          <w:rPr>
            <w:rStyle w:val="Hyperlink"/>
            <w:noProof/>
          </w:rPr>
          <w:t>Rights of review</w:t>
        </w:r>
        <w:r w:rsidR="00477CF6">
          <w:rPr>
            <w:noProof/>
            <w:webHidden/>
          </w:rPr>
          <w:tab/>
        </w:r>
        <w:r w:rsidR="00477CF6">
          <w:rPr>
            <w:noProof/>
            <w:webHidden/>
          </w:rPr>
          <w:fldChar w:fldCharType="begin"/>
        </w:r>
        <w:r w:rsidR="00477CF6">
          <w:rPr>
            <w:noProof/>
            <w:webHidden/>
          </w:rPr>
          <w:instrText xml:space="preserve"> PAGEREF _Toc493774543 \h </w:instrText>
        </w:r>
        <w:r w:rsidR="00477CF6">
          <w:rPr>
            <w:noProof/>
            <w:webHidden/>
          </w:rPr>
        </w:r>
        <w:r w:rsidR="00477CF6">
          <w:rPr>
            <w:noProof/>
            <w:webHidden/>
          </w:rPr>
          <w:fldChar w:fldCharType="separate"/>
        </w:r>
        <w:r w:rsidR="00477CF6">
          <w:rPr>
            <w:noProof/>
            <w:webHidden/>
          </w:rPr>
          <w:t>15</w:t>
        </w:r>
        <w:r w:rsidR="00477CF6">
          <w:rPr>
            <w:noProof/>
            <w:webHidden/>
          </w:rPr>
          <w:fldChar w:fldCharType="end"/>
        </w:r>
      </w:hyperlink>
    </w:p>
    <w:p w14:paraId="4AA8D12E" w14:textId="77777777" w:rsidR="00CF1AFF" w:rsidRDefault="00284453" w:rsidP="00284453">
      <w:r w:rsidRPr="000B2345">
        <w:rPr>
          <w:rFonts w:cs="Arial"/>
          <w:sz w:val="20"/>
          <w:szCs w:val="20"/>
        </w:rPr>
        <w:fldChar w:fldCharType="end"/>
      </w:r>
    </w:p>
    <w:p w14:paraId="496DC147" w14:textId="77777777" w:rsidR="006837FE" w:rsidRPr="00E203C2" w:rsidRDefault="006837FE" w:rsidP="00CF1AFF"/>
    <w:p w14:paraId="129CAC65" w14:textId="77777777" w:rsidR="006837FE" w:rsidRPr="008844E4" w:rsidRDefault="006837FE" w:rsidP="006837FE">
      <w:pPr>
        <w:rPr>
          <w:b/>
          <w:szCs w:val="22"/>
        </w:rPr>
      </w:pPr>
      <w:r w:rsidRPr="008844E4">
        <w:rPr>
          <w:b/>
          <w:szCs w:val="22"/>
        </w:rPr>
        <w:t>Supporting documents</w:t>
      </w:r>
    </w:p>
    <w:p w14:paraId="1F8E4BE0" w14:textId="77777777" w:rsidR="008844E4" w:rsidRPr="0089264A" w:rsidRDefault="008844E4" w:rsidP="00CF1AFF">
      <w:pPr>
        <w:rPr>
          <w:szCs w:val="22"/>
        </w:rPr>
      </w:pPr>
    </w:p>
    <w:p w14:paraId="253710D2" w14:textId="036D1288" w:rsidR="00CF1AFF" w:rsidRPr="00F834A3" w:rsidRDefault="00AC259E" w:rsidP="00CF1AFF">
      <w:pPr>
        <w:rPr>
          <w:color w:val="00B0F0"/>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0E402A">
        <w:rPr>
          <w:b/>
          <w:szCs w:val="22"/>
        </w:rPr>
        <w:t>Proposal</w:t>
      </w:r>
      <w:r w:rsidRPr="007B6C84">
        <w:rPr>
          <w:szCs w:val="22"/>
        </w:rPr>
        <w:t xml:space="preserve"> </w:t>
      </w:r>
      <w:r>
        <w:rPr>
          <w:szCs w:val="22"/>
        </w:rPr>
        <w:t>are</w:t>
      </w:r>
      <w:r w:rsidRPr="0089264A">
        <w:rPr>
          <w:szCs w:val="22"/>
        </w:rPr>
        <w:t xml:space="preserve"> available on the FSANZ website at</w:t>
      </w:r>
      <w:r w:rsidR="00E439D0">
        <w:rPr>
          <w:color w:val="FF0000"/>
          <w:szCs w:val="22"/>
        </w:rPr>
        <w:t xml:space="preserve"> </w:t>
      </w:r>
      <w:hyperlink r:id="rId21" w:history="1">
        <w:r w:rsidR="00E439D0" w:rsidRPr="00F834A3">
          <w:rPr>
            <w:rStyle w:val="Hyperlink"/>
            <w:color w:val="00B0F0"/>
            <w:szCs w:val="22"/>
          </w:rPr>
          <w:t>http://www.foodstandards.gov.au/code/proposals/Pages/P1034ChemicalMigrationfromPackagingintoFood.aspx</w:t>
        </w:r>
      </w:hyperlink>
    </w:p>
    <w:p w14:paraId="3F200C22" w14:textId="77777777" w:rsidR="00E439D0" w:rsidRPr="000E496E" w:rsidRDefault="00E439D0" w:rsidP="00CF1AFF">
      <w:pPr>
        <w:rPr>
          <w:szCs w:val="22"/>
        </w:rPr>
      </w:pPr>
    </w:p>
    <w:p w14:paraId="5E13547D" w14:textId="72B085DF" w:rsidR="000E496E" w:rsidRPr="000E496E" w:rsidRDefault="000E496E" w:rsidP="000E496E">
      <w:pPr>
        <w:spacing w:line="280" w:lineRule="exact"/>
        <w:ind w:left="851" w:hanging="851"/>
        <w:outlineLvl w:val="3"/>
        <w:rPr>
          <w:rFonts w:cs="Arial"/>
        </w:rPr>
      </w:pPr>
      <w:r w:rsidRPr="000E496E">
        <w:rPr>
          <w:rFonts w:cs="Arial"/>
        </w:rPr>
        <w:t>S</w:t>
      </w:r>
      <w:r w:rsidR="00077654">
        <w:rPr>
          <w:rFonts w:cs="Arial"/>
        </w:rPr>
        <w:t xml:space="preserve">upporting Document </w:t>
      </w:r>
      <w:r w:rsidRPr="000E496E">
        <w:rPr>
          <w:rFonts w:cs="Arial"/>
        </w:rPr>
        <w:t>1</w:t>
      </w:r>
      <w:r w:rsidRPr="000E496E">
        <w:rPr>
          <w:rFonts w:cs="Arial"/>
        </w:rPr>
        <w:tab/>
        <w:t>Summary of Submissions</w:t>
      </w:r>
    </w:p>
    <w:p w14:paraId="269D19ED" w14:textId="5412E4A4" w:rsidR="000E496E" w:rsidRPr="000E496E" w:rsidRDefault="00077654" w:rsidP="000E496E">
      <w:pPr>
        <w:spacing w:line="280" w:lineRule="exact"/>
        <w:ind w:left="851" w:hanging="851"/>
        <w:outlineLvl w:val="3"/>
        <w:rPr>
          <w:rFonts w:cs="Arial"/>
        </w:rPr>
      </w:pPr>
      <w:r w:rsidRPr="000E496E">
        <w:rPr>
          <w:rFonts w:cs="Arial"/>
        </w:rPr>
        <w:t>S</w:t>
      </w:r>
      <w:r>
        <w:rPr>
          <w:rFonts w:cs="Arial"/>
        </w:rPr>
        <w:t xml:space="preserve">upporting Document </w:t>
      </w:r>
      <w:r w:rsidR="000E496E" w:rsidRPr="000E496E">
        <w:rPr>
          <w:rFonts w:cs="Arial"/>
        </w:rPr>
        <w:t>2</w:t>
      </w:r>
      <w:r w:rsidR="000E496E" w:rsidRPr="000E496E">
        <w:rPr>
          <w:rFonts w:cs="Arial"/>
        </w:rPr>
        <w:tab/>
        <w:t>Issues ra</w:t>
      </w:r>
      <w:r w:rsidR="009E20F5">
        <w:rPr>
          <w:rFonts w:cs="Arial"/>
        </w:rPr>
        <w:t>ised during public consultation</w:t>
      </w:r>
    </w:p>
    <w:p w14:paraId="7BF145CB" w14:textId="1F3F9CA9" w:rsidR="000E496E" w:rsidRPr="000E496E" w:rsidRDefault="000E496E" w:rsidP="000E496E">
      <w:pPr>
        <w:spacing w:line="280" w:lineRule="exact"/>
        <w:ind w:left="851" w:hanging="851"/>
        <w:outlineLvl w:val="3"/>
        <w:rPr>
          <w:rFonts w:cs="Arial"/>
        </w:rPr>
      </w:pPr>
      <w:r w:rsidRPr="000E496E">
        <w:rPr>
          <w:rFonts w:cs="Arial"/>
        </w:rPr>
        <w:t>S</w:t>
      </w:r>
      <w:r w:rsidR="00077654">
        <w:rPr>
          <w:rFonts w:cs="Arial"/>
        </w:rPr>
        <w:t xml:space="preserve">upporting </w:t>
      </w:r>
      <w:r w:rsidRPr="000E496E">
        <w:rPr>
          <w:rFonts w:cs="Arial"/>
        </w:rPr>
        <w:t>D</w:t>
      </w:r>
      <w:r w:rsidR="00077654">
        <w:rPr>
          <w:rFonts w:cs="Arial"/>
        </w:rPr>
        <w:t xml:space="preserve">ocument </w:t>
      </w:r>
      <w:r w:rsidRPr="000E496E">
        <w:rPr>
          <w:rFonts w:cs="Arial"/>
        </w:rPr>
        <w:t>3</w:t>
      </w:r>
      <w:r w:rsidRPr="000E496E">
        <w:rPr>
          <w:rFonts w:cs="Arial"/>
        </w:rPr>
        <w:tab/>
        <w:t xml:space="preserve">Risk assessment </w:t>
      </w:r>
    </w:p>
    <w:p w14:paraId="0E5FE3BE" w14:textId="77777777" w:rsidR="00CF1AFF" w:rsidRDefault="00CF1AFF" w:rsidP="006837FE">
      <w:r>
        <w:br w:type="page"/>
      </w:r>
    </w:p>
    <w:p w14:paraId="0FB09AF6" w14:textId="77777777" w:rsidR="00A30E63" w:rsidRPr="00A30E63" w:rsidRDefault="00A30E63" w:rsidP="00BA50A8">
      <w:pPr>
        <w:pStyle w:val="Heading1"/>
      </w:pPr>
      <w:bookmarkStart w:id="5" w:name="_Toc286391001"/>
      <w:bookmarkStart w:id="6" w:name="_Toc300933414"/>
      <w:bookmarkStart w:id="7" w:name="_Toc370223463"/>
      <w:bookmarkStart w:id="8" w:name="_Toc493774516"/>
      <w:bookmarkStart w:id="9" w:name="_Toc11735627"/>
      <w:bookmarkStart w:id="10" w:name="_Toc29883110"/>
      <w:bookmarkStart w:id="11" w:name="_Toc41906797"/>
      <w:bookmarkStart w:id="12" w:name="_Toc41907544"/>
      <w:bookmarkStart w:id="13" w:name="_Toc120358575"/>
      <w:r w:rsidRPr="00A30E63">
        <w:lastRenderedPageBreak/>
        <w:t>Executive summary</w:t>
      </w:r>
      <w:bookmarkEnd w:id="5"/>
      <w:bookmarkEnd w:id="6"/>
      <w:bookmarkEnd w:id="7"/>
      <w:bookmarkEnd w:id="8"/>
    </w:p>
    <w:p w14:paraId="712F0BD2" w14:textId="2A01DBEC" w:rsidR="006740C2" w:rsidRDefault="006740C2" w:rsidP="006E1BE6">
      <w:r>
        <w:rPr>
          <w:rFonts w:cs="Arial"/>
          <w:szCs w:val="22"/>
          <w:lang w:eastAsia="en-GB" w:bidi="ar-SA"/>
        </w:rPr>
        <w:t xml:space="preserve">Proposal P1034 was prepared to </w:t>
      </w:r>
      <w:r>
        <w:rPr>
          <w:szCs w:val="22"/>
        </w:rPr>
        <w:t xml:space="preserve">assess the public health and safety risks of </w:t>
      </w:r>
      <w:r w:rsidR="002D5E1C">
        <w:t xml:space="preserve">chemical </w:t>
      </w:r>
      <w:r w:rsidRPr="00283CC7">
        <w:t>migrat</w:t>
      </w:r>
      <w:r w:rsidR="000E402A">
        <w:t>ion</w:t>
      </w:r>
      <w:r w:rsidRPr="00283CC7">
        <w:t xml:space="preserve"> from packaging into food</w:t>
      </w:r>
      <w:r>
        <w:t xml:space="preserve"> (CMPF), and to and manage any</w:t>
      </w:r>
      <w:r w:rsidR="000E402A">
        <w:t xml:space="preserve"> identified</w:t>
      </w:r>
      <w:r>
        <w:t xml:space="preserve"> risks. This paper summarises the results of that assessment, including </w:t>
      </w:r>
      <w:r w:rsidR="008E09E8" w:rsidRPr="00D12F89">
        <w:rPr>
          <w:lang w:eastAsia="en-GB"/>
        </w:rPr>
        <w:t>analytical survey results on food packaging chemicals</w:t>
      </w:r>
      <w:r>
        <w:rPr>
          <w:lang w:eastAsia="en-GB"/>
        </w:rPr>
        <w:t xml:space="preserve">. </w:t>
      </w:r>
    </w:p>
    <w:p w14:paraId="5F65AE21" w14:textId="77777777" w:rsidR="006740C2" w:rsidRDefault="006740C2" w:rsidP="006E1BE6">
      <w:pPr>
        <w:rPr>
          <w:lang w:eastAsia="en-GB"/>
        </w:rPr>
      </w:pPr>
    </w:p>
    <w:p w14:paraId="75F13F70" w14:textId="68A7835D" w:rsidR="008E09E8" w:rsidRDefault="006740C2" w:rsidP="006E1BE6">
      <w:r>
        <w:rPr>
          <w:lang w:eastAsia="en-GB"/>
        </w:rPr>
        <w:t xml:space="preserve">Following that assessment and further public consultation, FSANZ decided to abandon Proposal P1034. This paper </w:t>
      </w:r>
      <w:r w:rsidR="008E09E8" w:rsidRPr="00D12F89">
        <w:rPr>
          <w:lang w:eastAsia="en-GB"/>
        </w:rPr>
        <w:t>explain</w:t>
      </w:r>
      <w:r w:rsidR="00F36B7C">
        <w:rPr>
          <w:lang w:eastAsia="en-GB"/>
        </w:rPr>
        <w:t>s</w:t>
      </w:r>
      <w:r w:rsidR="008E09E8" w:rsidRPr="00D12F89">
        <w:rPr>
          <w:lang w:eastAsia="en-GB"/>
        </w:rPr>
        <w:t xml:space="preserve"> the reasons </w:t>
      </w:r>
      <w:r>
        <w:rPr>
          <w:lang w:eastAsia="en-GB"/>
        </w:rPr>
        <w:t xml:space="preserve">for that decision </w:t>
      </w:r>
      <w:r w:rsidR="00F36B7C">
        <w:rPr>
          <w:lang w:eastAsia="en-GB"/>
        </w:rPr>
        <w:t xml:space="preserve">and </w:t>
      </w:r>
      <w:r w:rsidR="008E09E8" w:rsidRPr="00D12F89">
        <w:rPr>
          <w:lang w:eastAsia="en-GB"/>
        </w:rPr>
        <w:t>outline</w:t>
      </w:r>
      <w:r w:rsidR="00F36B7C">
        <w:rPr>
          <w:lang w:eastAsia="en-GB"/>
        </w:rPr>
        <w:t>s</w:t>
      </w:r>
      <w:r w:rsidR="008E09E8" w:rsidRPr="00D12F89">
        <w:rPr>
          <w:lang w:eastAsia="en-GB"/>
        </w:rPr>
        <w:t xml:space="preserve"> </w:t>
      </w:r>
      <w:r>
        <w:rPr>
          <w:lang w:eastAsia="en-GB"/>
        </w:rPr>
        <w:t>future action by FSANZ in relation to CMPF.</w:t>
      </w:r>
    </w:p>
    <w:p w14:paraId="3CD6F24C" w14:textId="11B55727" w:rsidR="00CF4D51" w:rsidRDefault="00CF4D51" w:rsidP="008E09E8">
      <w:pPr>
        <w:widowControl/>
        <w:autoSpaceDE w:val="0"/>
        <w:autoSpaceDN w:val="0"/>
        <w:adjustRightInd w:val="0"/>
        <w:rPr>
          <w:lang w:eastAsia="en-GB"/>
        </w:rPr>
      </w:pPr>
    </w:p>
    <w:p w14:paraId="4F3E2AC3" w14:textId="117C7BEC" w:rsidR="00C07E07" w:rsidRDefault="00C07E07" w:rsidP="00284453">
      <w:r w:rsidRPr="00C07E07">
        <w:t>FSANZ assessed the risk</w:t>
      </w:r>
      <w:r w:rsidR="000E402A">
        <w:t>s</w:t>
      </w:r>
      <w:r w:rsidRPr="00C07E07">
        <w:t xml:space="preserve"> associated with </w:t>
      </w:r>
      <w:r w:rsidR="000E402A">
        <w:t xml:space="preserve">migration of </w:t>
      </w:r>
      <w:r w:rsidRPr="00C07E07">
        <w:t>packaging chemicals and analys</w:t>
      </w:r>
      <w:r w:rsidR="00F36B7C">
        <w:t>ed</w:t>
      </w:r>
      <w:r w:rsidRPr="00C07E07">
        <w:t xml:space="preserve"> control measures used </w:t>
      </w:r>
      <w:r w:rsidR="00F36B7C">
        <w:t>in</w:t>
      </w:r>
      <w:r w:rsidR="00F36B7C" w:rsidRPr="00C07E07">
        <w:t xml:space="preserve"> </w:t>
      </w:r>
      <w:r w:rsidRPr="00C07E07">
        <w:t>the packaging</w:t>
      </w:r>
      <w:r>
        <w:t xml:space="preserve"> supply chain to mitigate CMPF. Details were provided in FSANZ’s Call for Submissions report of June 2016. </w:t>
      </w:r>
    </w:p>
    <w:p w14:paraId="66D666F8" w14:textId="77777777" w:rsidR="00060579" w:rsidRDefault="00060579" w:rsidP="00284453"/>
    <w:p w14:paraId="6E5A0175" w14:textId="1E24473E" w:rsidR="00BF111C" w:rsidRDefault="00BF111C" w:rsidP="00C07E07">
      <w:r>
        <w:t xml:space="preserve">A </w:t>
      </w:r>
      <w:r w:rsidR="00C07E07">
        <w:t xml:space="preserve">risk </w:t>
      </w:r>
      <w:r w:rsidR="00CC5DB9">
        <w:t xml:space="preserve">assessment </w:t>
      </w:r>
      <w:r>
        <w:t xml:space="preserve">based on an analysis of a database of over 1300 food contact substances found </w:t>
      </w:r>
      <w:r w:rsidR="00C07E07">
        <w:t xml:space="preserve">that </w:t>
      </w:r>
      <w:r w:rsidR="00D205EB">
        <w:t xml:space="preserve">exposures to </w:t>
      </w:r>
      <w:r w:rsidR="00C07E07">
        <w:t xml:space="preserve">most chemicals used to produce food packaging are </w:t>
      </w:r>
      <w:r w:rsidR="00D205EB">
        <w:t xml:space="preserve">low and </w:t>
      </w:r>
      <w:r w:rsidR="00C07E07">
        <w:t>unlikely to pose a public health and safety concern</w:t>
      </w:r>
      <w:r w:rsidR="006B3513">
        <w:t xml:space="preserve">. </w:t>
      </w:r>
      <w:r>
        <w:t xml:space="preserve">This conclusion was supported by a number of analytical surveys </w:t>
      </w:r>
      <w:r w:rsidR="006B3513" w:rsidRPr="006B3513">
        <w:t>investigating the presence of packaging chemicals in Australian and New Zealand foods.</w:t>
      </w:r>
    </w:p>
    <w:p w14:paraId="53DFC209" w14:textId="77777777" w:rsidR="00BF111C" w:rsidRDefault="00BF111C" w:rsidP="00C07E07"/>
    <w:p w14:paraId="358E367C" w14:textId="51D0D1F9" w:rsidR="006B3513" w:rsidRDefault="006B3513" w:rsidP="006B3513">
      <w:r>
        <w:t xml:space="preserve">However, </w:t>
      </w:r>
      <w:r w:rsidR="002B2B2A">
        <w:t xml:space="preserve">a screening study identified a need for more comprehensive analytical data </w:t>
      </w:r>
      <w:r>
        <w:t>for two phthalate compounds, di(2-ethylhexyl) phthalate (DEHP) and diisononyl phthalate (DINP), to enable a more robust assessment of any potential health and safety risks. As a result a comprehensive survey was u</w:t>
      </w:r>
      <w:r w:rsidR="00D205EB">
        <w:t xml:space="preserve">ndertaken investigating the levels of </w:t>
      </w:r>
      <w:r w:rsidR="00D205EB" w:rsidRPr="00D205EB">
        <w:t xml:space="preserve">DEHP and DINP and five additional plasticisers in </w:t>
      </w:r>
      <w:r w:rsidR="00D205EB">
        <w:t xml:space="preserve">a wide range of </w:t>
      </w:r>
      <w:r w:rsidR="00D205EB" w:rsidRPr="00D205EB">
        <w:t>Australian foods</w:t>
      </w:r>
      <w:r w:rsidR="00D205EB">
        <w:t xml:space="preserve">. Results from this more detailed survey found that </w:t>
      </w:r>
      <w:r w:rsidR="00D205EB" w:rsidRPr="00D205EB">
        <w:t>estimated dietary exposures are below the tolerable daily intakes (TDIs) for these substances and do n</w:t>
      </w:r>
      <w:r w:rsidR="00D205EB">
        <w:t xml:space="preserve">ot pose a public health </w:t>
      </w:r>
      <w:r w:rsidR="0023224A">
        <w:t>concern</w:t>
      </w:r>
      <w:r w:rsidR="00D205EB">
        <w:t xml:space="preserve">. </w:t>
      </w:r>
    </w:p>
    <w:p w14:paraId="71609592" w14:textId="77777777" w:rsidR="006B3513" w:rsidRDefault="006B3513" w:rsidP="006B3513"/>
    <w:p w14:paraId="336E35E0" w14:textId="328854BB" w:rsidR="00493964" w:rsidRDefault="00D205EB" w:rsidP="00BA60D9">
      <w:pPr>
        <w:rPr>
          <w:rFonts w:eastAsia="Calibri"/>
        </w:rPr>
      </w:pPr>
      <w:r>
        <w:t>FSANZ also recently completed a survey investigating the migration of mineral oil hydrocarbons</w:t>
      </w:r>
      <w:r w:rsidR="0023224A">
        <w:t xml:space="preserve"> (MOH)</w:t>
      </w:r>
      <w:r>
        <w:t xml:space="preserve"> from paperboard packaging into Australian foods. </w:t>
      </w:r>
      <w:r w:rsidR="0023224A" w:rsidRPr="0023224A">
        <w:t xml:space="preserve">The survey indicated that the levels of </w:t>
      </w:r>
      <w:r w:rsidR="002352D8">
        <w:t>MOH</w:t>
      </w:r>
      <w:r w:rsidR="0023224A" w:rsidRPr="0023224A">
        <w:t xml:space="preserve"> from food packaging in Australian foods are very low and unlikely to be of public health concern. </w:t>
      </w:r>
      <w:r w:rsidR="00493964" w:rsidRPr="00FF39A4">
        <w:rPr>
          <w:rFonts w:eastAsia="Calibri"/>
        </w:rPr>
        <w:t>A</w:t>
      </w:r>
      <w:r w:rsidR="00BA60D9">
        <w:rPr>
          <w:rFonts w:eastAsia="Calibri"/>
        </w:rPr>
        <w:t>n additional</w:t>
      </w:r>
      <w:r w:rsidR="00493964" w:rsidRPr="00FF39A4">
        <w:rPr>
          <w:rFonts w:eastAsia="Calibri"/>
        </w:rPr>
        <w:t xml:space="preserve"> survey of packaging chemicals including phthalates, printing inks and photoinitiators in New Zealand foods also found that </w:t>
      </w:r>
      <w:r w:rsidR="00E31C62">
        <w:rPr>
          <w:rFonts w:eastAsia="Calibri"/>
        </w:rPr>
        <w:t xml:space="preserve">estimated </w:t>
      </w:r>
      <w:r w:rsidR="00493964" w:rsidRPr="00FF39A4">
        <w:rPr>
          <w:rFonts w:eastAsia="Calibri"/>
        </w:rPr>
        <w:t xml:space="preserve">dietary exposures to these chemicals are low and not of concern for human health. </w:t>
      </w:r>
    </w:p>
    <w:p w14:paraId="2615AB3E" w14:textId="77777777" w:rsidR="00BA60D9" w:rsidRDefault="00BA60D9" w:rsidP="00BA60D9">
      <w:pPr>
        <w:rPr>
          <w:rFonts w:eastAsia="Calibri"/>
        </w:rPr>
      </w:pPr>
    </w:p>
    <w:p w14:paraId="3EE7DEED" w14:textId="5793AABB" w:rsidR="00C07E07" w:rsidRDefault="00C07E07" w:rsidP="00C07E07">
      <w:r>
        <w:t xml:space="preserve">FSANZ consulted widely with a broad range of stakeholders, and overall, </w:t>
      </w:r>
      <w:r w:rsidR="00C1374F">
        <w:t xml:space="preserve">concluded that sufficient </w:t>
      </w:r>
      <w:r>
        <w:t xml:space="preserve">control measures </w:t>
      </w:r>
      <w:r w:rsidR="00F36B7C">
        <w:t>are</w:t>
      </w:r>
      <w:r>
        <w:t xml:space="preserve"> in place to c</w:t>
      </w:r>
      <w:r w:rsidR="00C1374F">
        <w:t>ontrol CMPF</w:t>
      </w:r>
      <w:r w:rsidR="00F36B7C">
        <w:t xml:space="preserve">. </w:t>
      </w:r>
      <w:r>
        <w:t xml:space="preserve">However, some food businesses showed poor awareness of CMPF and </w:t>
      </w:r>
      <w:r w:rsidR="00060579">
        <w:t xml:space="preserve">knowledge of </w:t>
      </w:r>
      <w:r>
        <w:t>suitable control measures. This appeared to be more evident for small</w:t>
      </w:r>
      <w:r w:rsidR="00A43180">
        <w:t>-</w:t>
      </w:r>
      <w:r>
        <w:t>to</w:t>
      </w:r>
      <w:r w:rsidR="00A43180">
        <w:t>-</w:t>
      </w:r>
      <w:r>
        <w:t>medium enterprises</w:t>
      </w:r>
      <w:r w:rsidR="00E31C62">
        <w:t xml:space="preserve"> (SMEs)</w:t>
      </w:r>
      <w:r>
        <w:t>.</w:t>
      </w:r>
    </w:p>
    <w:p w14:paraId="616CDF20" w14:textId="77777777" w:rsidR="00C07E07" w:rsidRDefault="00C07E07" w:rsidP="00284453"/>
    <w:p w14:paraId="2B3445A7" w14:textId="59C5A94F" w:rsidR="00C07E07" w:rsidRDefault="00FA522F" w:rsidP="00284453">
      <w:r>
        <w:t>A</w:t>
      </w:r>
      <w:r w:rsidR="00C07E07" w:rsidRPr="00C07E07">
        <w:t xml:space="preserve"> range of risk manage</w:t>
      </w:r>
      <w:r w:rsidR="00C07E07">
        <w:t xml:space="preserve">ment options were </w:t>
      </w:r>
      <w:r w:rsidR="007F2993">
        <w:t xml:space="preserve">proposed. FSANZ’s assessment </w:t>
      </w:r>
      <w:r w:rsidR="00C07E07">
        <w:t xml:space="preserve"> was </w:t>
      </w:r>
      <w:r w:rsidR="00C07E07" w:rsidRPr="00C07E07">
        <w:t xml:space="preserve">that a graduated </w:t>
      </w:r>
      <w:r w:rsidR="00E31C62">
        <w:t xml:space="preserve">risk management </w:t>
      </w:r>
      <w:r w:rsidR="00C07E07" w:rsidRPr="00C07E07">
        <w:t>approach offer</w:t>
      </w:r>
      <w:r w:rsidR="00C07E07">
        <w:t>ed</w:t>
      </w:r>
      <w:r w:rsidR="00C07E07" w:rsidRPr="00C07E07">
        <w:t xml:space="preserve"> the most advantages in terms of protection of public health and safety and cost effectiveness. The graduated a</w:t>
      </w:r>
      <w:r w:rsidR="00C07E07">
        <w:t xml:space="preserve">pproach served to </w:t>
      </w:r>
      <w:r w:rsidR="00C07E07" w:rsidRPr="00C07E07">
        <w:t>address chemica</w:t>
      </w:r>
      <w:r w:rsidR="007F2993">
        <w:t>ls with different risk profiles,</w:t>
      </w:r>
      <w:r w:rsidR="00C07E07" w:rsidRPr="00C07E07">
        <w:t xml:space="preserve"> concerns with clarity about current requirements</w:t>
      </w:r>
      <w:r w:rsidR="007F2993">
        <w:t>,</w:t>
      </w:r>
      <w:r w:rsidR="00C07E07" w:rsidRPr="00C07E07">
        <w:t xml:space="preserve"> </w:t>
      </w:r>
      <w:r w:rsidR="00E8698B">
        <w:t xml:space="preserve">and </w:t>
      </w:r>
      <w:r w:rsidR="00C07E07" w:rsidRPr="00C07E07">
        <w:t>gaps in the awareness of CMPF.</w:t>
      </w:r>
    </w:p>
    <w:p w14:paraId="13EC91B9" w14:textId="635DF1C7" w:rsidR="003B5594" w:rsidRDefault="003B5594">
      <w:pPr>
        <w:widowControl/>
      </w:pPr>
    </w:p>
    <w:p w14:paraId="0ED2533E" w14:textId="77777777" w:rsidR="00032A44" w:rsidRDefault="00032A44">
      <w:pPr>
        <w:widowControl/>
      </w:pPr>
      <w:r>
        <w:br w:type="page"/>
      </w:r>
    </w:p>
    <w:p w14:paraId="1A0E5B6E" w14:textId="56D44F92" w:rsidR="00F27550" w:rsidRDefault="00F27550" w:rsidP="007F2993">
      <w:r>
        <w:t xml:space="preserve">To improve awareness and knowledge about CMPF, FSANZ plans to develop a food packaging information guide to </w:t>
      </w:r>
      <w:r w:rsidR="00F36B7C">
        <w:t>p</w:t>
      </w:r>
      <w:r w:rsidR="007F2993">
        <w:t>rovide</w:t>
      </w:r>
      <w:r>
        <w:t xml:space="preserve"> a consolidated and comprehensive source of information for industry</w:t>
      </w:r>
      <w:r w:rsidR="007F2993">
        <w:t xml:space="preserve">, </w:t>
      </w:r>
      <w:r w:rsidR="00F36B7C">
        <w:t>a</w:t>
      </w:r>
      <w:r>
        <w:t>ddress the gaps in awareness and knowledge for SMEs</w:t>
      </w:r>
      <w:r w:rsidR="007F2993">
        <w:t xml:space="preserve">, </w:t>
      </w:r>
      <w:r w:rsidR="00F36B7C">
        <w:t>p</w:t>
      </w:r>
      <w:r>
        <w:t>rovid</w:t>
      </w:r>
      <w:r w:rsidR="007F2993">
        <w:t xml:space="preserve">e </w:t>
      </w:r>
      <w:r>
        <w:t xml:space="preserve"> general information on safety issues with CMPF for consumers</w:t>
      </w:r>
      <w:r w:rsidR="007F2993">
        <w:t xml:space="preserve">, and </w:t>
      </w:r>
      <w:r w:rsidR="00F36B7C">
        <w:t>d</w:t>
      </w:r>
      <w:r>
        <w:t>escrib</w:t>
      </w:r>
      <w:r w:rsidR="007F2993">
        <w:t>e</w:t>
      </w:r>
      <w:r>
        <w:t xml:space="preserve"> the obligations on food businesses (particular</w:t>
      </w:r>
      <w:r w:rsidR="003C463B">
        <w:t xml:space="preserve">ly SMEs) to use safe packaging </w:t>
      </w:r>
      <w:r>
        <w:t>materials</w:t>
      </w:r>
      <w:r w:rsidR="007F2993">
        <w:t>.</w:t>
      </w:r>
    </w:p>
    <w:p w14:paraId="33D63B11" w14:textId="39EF71EE" w:rsidR="00F27550" w:rsidRDefault="00F27550" w:rsidP="00F27550">
      <w:pPr>
        <w:ind w:left="567" w:hanging="567"/>
      </w:pPr>
    </w:p>
    <w:p w14:paraId="7E187DE6" w14:textId="3FBB0287" w:rsidR="00F27550" w:rsidRDefault="003B5594" w:rsidP="00F178FC">
      <w:pPr>
        <w:widowControl/>
      </w:pPr>
      <w:r>
        <w:br w:type="page"/>
      </w:r>
    </w:p>
    <w:p w14:paraId="6EE0B5FB" w14:textId="77777777" w:rsidR="005C0BD0" w:rsidRDefault="00AC259E" w:rsidP="00284453">
      <w:pPr>
        <w:pStyle w:val="Heading1"/>
      </w:pPr>
      <w:bookmarkStart w:id="14" w:name="_Toc300933417"/>
      <w:bookmarkStart w:id="15" w:name="_Toc309291831"/>
      <w:bookmarkStart w:id="16" w:name="_Toc309385448"/>
      <w:bookmarkStart w:id="17" w:name="_Toc493774517"/>
      <w:bookmarkStart w:id="18" w:name="_Toc300933378"/>
      <w:bookmarkStart w:id="19" w:name="_Toc301535581"/>
      <w:r>
        <w:t>1</w:t>
      </w:r>
      <w:r w:rsidR="005C0BD0" w:rsidRPr="005C0BD0">
        <w:tab/>
        <w:t>Introduction</w:t>
      </w:r>
      <w:bookmarkEnd w:id="14"/>
      <w:bookmarkEnd w:id="15"/>
      <w:bookmarkEnd w:id="16"/>
      <w:bookmarkEnd w:id="17"/>
    </w:p>
    <w:p w14:paraId="5B304E02" w14:textId="5A270F39" w:rsidR="005C0BD0" w:rsidRPr="005C0BD0" w:rsidRDefault="00AC259E" w:rsidP="00CB5D88">
      <w:pPr>
        <w:pStyle w:val="Heading2"/>
      </w:pPr>
      <w:bookmarkStart w:id="20" w:name="_Toc300761891"/>
      <w:bookmarkStart w:id="21" w:name="_Toc300933420"/>
      <w:bookmarkStart w:id="22" w:name="_Toc309291833"/>
      <w:bookmarkStart w:id="23" w:name="_Toc309385450"/>
      <w:bookmarkStart w:id="24" w:name="_Toc493774518"/>
      <w:r>
        <w:t>1</w:t>
      </w:r>
      <w:r w:rsidR="005C0BD0" w:rsidRPr="005C0BD0">
        <w:t>.</w:t>
      </w:r>
      <w:r w:rsidR="007B6C84">
        <w:t>1</w:t>
      </w:r>
      <w:r w:rsidR="005C0BD0" w:rsidRPr="005C0BD0">
        <w:tab/>
        <w:t xml:space="preserve">The </w:t>
      </w:r>
      <w:bookmarkEnd w:id="20"/>
      <w:r w:rsidR="005C0BD0" w:rsidRPr="00284453">
        <w:t>Proposal</w:t>
      </w:r>
      <w:bookmarkEnd w:id="21"/>
      <w:bookmarkEnd w:id="22"/>
      <w:bookmarkEnd w:id="23"/>
      <w:bookmarkEnd w:id="24"/>
    </w:p>
    <w:p w14:paraId="6FB36110" w14:textId="5AC85384" w:rsidR="00F04470" w:rsidRDefault="00F04470" w:rsidP="008E09E8">
      <w:pPr>
        <w:widowControl/>
        <w:autoSpaceDE w:val="0"/>
        <w:autoSpaceDN w:val="0"/>
        <w:adjustRightInd w:val="0"/>
        <w:rPr>
          <w:rFonts w:eastAsia="Calibri"/>
        </w:rPr>
      </w:pPr>
      <w:bookmarkStart w:id="25" w:name="_Toc300761892"/>
      <w:bookmarkStart w:id="26" w:name="_Toc300933421"/>
      <w:bookmarkStart w:id="27" w:name="_Toc309291834"/>
      <w:bookmarkStart w:id="28" w:name="_Toc309385451"/>
      <w:r w:rsidRPr="004D5E67">
        <w:rPr>
          <w:rFonts w:eastAsia="Calibri"/>
        </w:rPr>
        <w:t xml:space="preserve">Proposal </w:t>
      </w:r>
      <w:r>
        <w:rPr>
          <w:rFonts w:eastAsia="Calibri"/>
        </w:rPr>
        <w:t>P10</w:t>
      </w:r>
      <w:r w:rsidR="00354460">
        <w:rPr>
          <w:rFonts w:eastAsia="Calibri"/>
        </w:rPr>
        <w:t>34</w:t>
      </w:r>
      <w:r>
        <w:rPr>
          <w:rFonts w:eastAsia="Calibri"/>
        </w:rPr>
        <w:t xml:space="preserve"> was prepared</w:t>
      </w:r>
      <w:r w:rsidRPr="004D5E67">
        <w:rPr>
          <w:rFonts w:eastAsiaTheme="minorHAnsi"/>
          <w:lang w:val="en-AU"/>
        </w:rPr>
        <w:t xml:space="preserve"> </w:t>
      </w:r>
      <w:r w:rsidRPr="004D5E67">
        <w:rPr>
          <w:rFonts w:eastAsia="Calibri"/>
        </w:rPr>
        <w:t xml:space="preserve">to </w:t>
      </w:r>
      <w:r w:rsidR="00921FBD">
        <w:rPr>
          <w:rFonts w:eastAsia="Calibri"/>
        </w:rPr>
        <w:t>assess</w:t>
      </w:r>
      <w:r w:rsidRPr="004D5E67">
        <w:rPr>
          <w:rFonts w:eastAsia="Calibri"/>
        </w:rPr>
        <w:t xml:space="preserve"> whether additional measures are required to manage food safety risks arising from </w:t>
      </w:r>
      <w:r w:rsidRPr="004D5E67">
        <w:t>chemical migration from packaging into food (</w:t>
      </w:r>
      <w:r w:rsidRPr="004D5E67">
        <w:rPr>
          <w:rFonts w:eastAsia="Calibri"/>
        </w:rPr>
        <w:t>CMPF) in Australia and New Zealand</w:t>
      </w:r>
      <w:r w:rsidR="008332D7">
        <w:rPr>
          <w:rFonts w:eastAsia="Calibri"/>
        </w:rPr>
        <w:t>.</w:t>
      </w:r>
    </w:p>
    <w:p w14:paraId="29F4C63A" w14:textId="77777777" w:rsidR="00F04470" w:rsidRDefault="00F04470" w:rsidP="008E09E8">
      <w:pPr>
        <w:widowControl/>
        <w:autoSpaceDE w:val="0"/>
        <w:autoSpaceDN w:val="0"/>
        <w:adjustRightInd w:val="0"/>
        <w:rPr>
          <w:rFonts w:eastAsia="Calibri"/>
        </w:rPr>
      </w:pPr>
    </w:p>
    <w:p w14:paraId="47FA32CE" w14:textId="2ECBC7A2" w:rsidR="006D038F" w:rsidRDefault="008E09E8" w:rsidP="008E09E8">
      <w:pPr>
        <w:widowControl/>
        <w:autoSpaceDE w:val="0"/>
        <w:autoSpaceDN w:val="0"/>
        <w:adjustRightInd w:val="0"/>
        <w:rPr>
          <w:rFonts w:cs="Arial"/>
          <w:szCs w:val="22"/>
          <w:lang w:eastAsia="en-GB" w:bidi="ar-SA"/>
        </w:rPr>
      </w:pPr>
      <w:r>
        <w:rPr>
          <w:rFonts w:cs="Arial"/>
          <w:szCs w:val="22"/>
          <w:lang w:eastAsia="en-GB" w:bidi="ar-SA"/>
        </w:rPr>
        <w:t xml:space="preserve">FSANZ </w:t>
      </w:r>
      <w:r w:rsidR="00231912">
        <w:rPr>
          <w:rFonts w:cs="Arial"/>
          <w:szCs w:val="22"/>
          <w:lang w:eastAsia="en-GB" w:bidi="ar-SA"/>
        </w:rPr>
        <w:t>has been</w:t>
      </w:r>
      <w:r>
        <w:rPr>
          <w:rFonts w:cs="Arial"/>
          <w:szCs w:val="22"/>
          <w:lang w:eastAsia="en-GB" w:bidi="ar-SA"/>
        </w:rPr>
        <w:t xml:space="preserve"> </w:t>
      </w:r>
      <w:r w:rsidRPr="005D05FC">
        <w:rPr>
          <w:rFonts w:cs="Arial"/>
          <w:szCs w:val="22"/>
          <w:lang w:eastAsia="en-GB" w:bidi="ar-SA"/>
        </w:rPr>
        <w:t>investigating</w:t>
      </w:r>
      <w:r>
        <w:rPr>
          <w:rFonts w:cs="Arial"/>
          <w:szCs w:val="22"/>
          <w:lang w:eastAsia="en-GB" w:bidi="ar-SA"/>
        </w:rPr>
        <w:t xml:space="preserve"> the potential public health an</w:t>
      </w:r>
      <w:r w:rsidR="006D038F">
        <w:rPr>
          <w:rFonts w:cs="Arial"/>
          <w:szCs w:val="22"/>
          <w:lang w:eastAsia="en-GB" w:bidi="ar-SA"/>
        </w:rPr>
        <w:t xml:space="preserve">d safety risks associated with </w:t>
      </w:r>
      <w:r>
        <w:rPr>
          <w:rFonts w:cs="Arial"/>
          <w:szCs w:val="22"/>
          <w:lang w:eastAsia="en-GB" w:bidi="ar-SA"/>
        </w:rPr>
        <w:t xml:space="preserve">chemicals in food packaging for </w:t>
      </w:r>
      <w:r w:rsidR="008332D7">
        <w:rPr>
          <w:rFonts w:cs="Arial"/>
          <w:szCs w:val="22"/>
          <w:lang w:eastAsia="en-GB" w:bidi="ar-SA"/>
        </w:rPr>
        <w:t>a num</w:t>
      </w:r>
      <w:r w:rsidR="00FA522F">
        <w:rPr>
          <w:rFonts w:cs="Arial"/>
          <w:szCs w:val="22"/>
          <w:lang w:eastAsia="en-GB" w:bidi="ar-SA"/>
        </w:rPr>
        <w:t>b</w:t>
      </w:r>
      <w:r w:rsidR="008332D7">
        <w:rPr>
          <w:rFonts w:cs="Arial"/>
          <w:szCs w:val="22"/>
          <w:lang w:eastAsia="en-GB" w:bidi="ar-SA"/>
        </w:rPr>
        <w:t xml:space="preserve">er of </w:t>
      </w:r>
      <w:r>
        <w:rPr>
          <w:rFonts w:cs="Arial"/>
          <w:szCs w:val="22"/>
          <w:lang w:eastAsia="en-GB" w:bidi="ar-SA"/>
        </w:rPr>
        <w:t>years</w:t>
      </w:r>
      <w:r w:rsidR="001740DC">
        <w:rPr>
          <w:rFonts w:cs="Arial"/>
          <w:szCs w:val="22"/>
          <w:lang w:eastAsia="en-GB" w:bidi="ar-SA"/>
        </w:rPr>
        <w:t xml:space="preserve">. </w:t>
      </w:r>
    </w:p>
    <w:p w14:paraId="7D7D91FE" w14:textId="77777777" w:rsidR="006D038F" w:rsidRDefault="006D038F" w:rsidP="008E09E8">
      <w:pPr>
        <w:widowControl/>
        <w:autoSpaceDE w:val="0"/>
        <w:autoSpaceDN w:val="0"/>
        <w:adjustRightInd w:val="0"/>
        <w:rPr>
          <w:rFonts w:cs="Arial"/>
          <w:szCs w:val="22"/>
          <w:lang w:eastAsia="en-GB" w:bidi="ar-SA"/>
        </w:rPr>
      </w:pPr>
    </w:p>
    <w:p w14:paraId="5264E3AA" w14:textId="0A41C100" w:rsidR="00F04470" w:rsidRDefault="000409F5" w:rsidP="008E09E8">
      <w:pPr>
        <w:widowControl/>
        <w:autoSpaceDE w:val="0"/>
        <w:autoSpaceDN w:val="0"/>
        <w:adjustRightInd w:val="0"/>
        <w:rPr>
          <w:rFonts w:cs="Arial"/>
          <w:szCs w:val="22"/>
          <w:lang w:eastAsia="en-GB" w:bidi="ar-SA"/>
        </w:rPr>
      </w:pPr>
      <w:r w:rsidRPr="000409F5">
        <w:rPr>
          <w:rFonts w:cs="Arial"/>
          <w:szCs w:val="22"/>
          <w:lang w:eastAsia="en-GB" w:bidi="ar-SA"/>
        </w:rPr>
        <w:t xml:space="preserve">In 2007, in response to stakeholder concerns </w:t>
      </w:r>
      <w:r w:rsidR="009A1951">
        <w:rPr>
          <w:rFonts w:cs="Arial"/>
          <w:szCs w:val="22"/>
          <w:lang w:eastAsia="en-GB" w:bidi="ar-SA"/>
        </w:rPr>
        <w:t xml:space="preserve">about </w:t>
      </w:r>
      <w:r w:rsidRPr="000409F5">
        <w:rPr>
          <w:rFonts w:cs="Arial"/>
          <w:szCs w:val="22"/>
          <w:lang w:eastAsia="en-GB" w:bidi="ar-SA"/>
        </w:rPr>
        <w:t xml:space="preserve">contaminants </w:t>
      </w:r>
      <w:r w:rsidR="009A1951">
        <w:rPr>
          <w:rFonts w:cs="Arial"/>
          <w:szCs w:val="22"/>
          <w:lang w:eastAsia="en-GB" w:bidi="ar-SA"/>
        </w:rPr>
        <w:t>[</w:t>
      </w:r>
      <w:r w:rsidRPr="000409F5">
        <w:rPr>
          <w:rFonts w:cs="Arial"/>
          <w:szCs w:val="22"/>
          <w:lang w:eastAsia="en-GB" w:bidi="ar-SA"/>
        </w:rPr>
        <w:t>e.g. bisphenol A (BPA), phthalates and printing inks</w:t>
      </w:r>
      <w:r w:rsidR="009A1951">
        <w:rPr>
          <w:rFonts w:cs="Arial"/>
          <w:szCs w:val="22"/>
          <w:lang w:eastAsia="en-GB" w:bidi="ar-SA"/>
        </w:rPr>
        <w:t>]</w:t>
      </w:r>
      <w:r w:rsidRPr="000409F5">
        <w:rPr>
          <w:rFonts w:cs="Arial"/>
          <w:szCs w:val="22"/>
          <w:lang w:eastAsia="en-GB" w:bidi="ar-SA"/>
        </w:rPr>
        <w:t xml:space="preserve"> leaching from packaging into food, FSANZ initiated a preliminary review of the current regulatory framework for food packaging materials.</w:t>
      </w:r>
      <w:r w:rsidR="008E09E8">
        <w:rPr>
          <w:rFonts w:cs="Arial"/>
          <w:szCs w:val="22"/>
          <w:lang w:eastAsia="en-GB" w:bidi="ar-SA"/>
        </w:rPr>
        <w:t xml:space="preserve"> </w:t>
      </w:r>
      <w:r w:rsidR="009A1951">
        <w:rPr>
          <w:rFonts w:cs="Arial"/>
          <w:szCs w:val="22"/>
          <w:lang w:eastAsia="en-GB" w:bidi="ar-SA"/>
        </w:rPr>
        <w:t>Based on the findings of this work, P</w:t>
      </w:r>
      <w:r w:rsidR="008E09E8">
        <w:rPr>
          <w:rFonts w:cs="Arial"/>
          <w:szCs w:val="22"/>
          <w:lang w:eastAsia="en-GB" w:bidi="ar-SA"/>
        </w:rPr>
        <w:t xml:space="preserve">roposal P1034 </w:t>
      </w:r>
      <w:r w:rsidR="00F04470">
        <w:rPr>
          <w:rFonts w:cs="Arial"/>
          <w:szCs w:val="22"/>
          <w:lang w:eastAsia="en-GB" w:bidi="ar-SA"/>
        </w:rPr>
        <w:t xml:space="preserve">was prepared </w:t>
      </w:r>
      <w:r w:rsidR="008E09E8">
        <w:rPr>
          <w:rFonts w:cs="Arial"/>
          <w:szCs w:val="22"/>
          <w:lang w:eastAsia="en-GB" w:bidi="ar-SA"/>
        </w:rPr>
        <w:t>in 2014</w:t>
      </w:r>
      <w:r w:rsidR="00FC0889">
        <w:rPr>
          <w:rFonts w:cs="Arial"/>
          <w:szCs w:val="22"/>
          <w:lang w:eastAsia="en-GB" w:bidi="ar-SA"/>
        </w:rPr>
        <w:t>.</w:t>
      </w:r>
      <w:r>
        <w:rPr>
          <w:rFonts w:cs="Arial"/>
          <w:szCs w:val="22"/>
          <w:lang w:eastAsia="en-GB" w:bidi="ar-SA"/>
        </w:rPr>
        <w:t xml:space="preserve"> </w:t>
      </w:r>
      <w:r w:rsidR="00FC0889">
        <w:rPr>
          <w:rFonts w:cs="Arial"/>
          <w:szCs w:val="22"/>
          <w:lang w:eastAsia="en-GB" w:bidi="ar-SA"/>
        </w:rPr>
        <w:t xml:space="preserve">The aim of this work </w:t>
      </w:r>
      <w:r w:rsidR="008E09E8" w:rsidRPr="008E09E8">
        <w:rPr>
          <w:rFonts w:cs="Arial"/>
          <w:szCs w:val="22"/>
          <w:lang w:eastAsia="en-GB" w:bidi="ar-SA"/>
        </w:rPr>
        <w:t xml:space="preserve">was to build on FSANZ’s understanding of the nature and possible risks from CMPF, to ascertain the extent to which risks are managed by industry and to assess whether further requirements are needed. </w:t>
      </w:r>
    </w:p>
    <w:p w14:paraId="1D5913EC" w14:textId="77777777" w:rsidR="001740DC" w:rsidRDefault="001740DC" w:rsidP="001740DC">
      <w:pPr>
        <w:widowControl/>
        <w:autoSpaceDE w:val="0"/>
        <w:autoSpaceDN w:val="0"/>
        <w:adjustRightInd w:val="0"/>
        <w:rPr>
          <w:rFonts w:cs="Arial"/>
          <w:szCs w:val="22"/>
          <w:lang w:eastAsia="en-GB" w:bidi="ar-SA"/>
        </w:rPr>
      </w:pPr>
    </w:p>
    <w:p w14:paraId="72AF6969" w14:textId="5992ED8D" w:rsidR="001740DC" w:rsidRPr="001740DC" w:rsidRDefault="001740DC" w:rsidP="001740DC">
      <w:pPr>
        <w:widowControl/>
        <w:autoSpaceDE w:val="0"/>
        <w:autoSpaceDN w:val="0"/>
        <w:adjustRightInd w:val="0"/>
        <w:rPr>
          <w:rFonts w:cs="Arial"/>
          <w:szCs w:val="22"/>
          <w:lang w:eastAsia="en-GB" w:bidi="ar-SA"/>
        </w:rPr>
      </w:pPr>
      <w:r>
        <w:rPr>
          <w:rFonts w:cs="Arial"/>
          <w:szCs w:val="22"/>
          <w:lang w:eastAsia="en-GB" w:bidi="ar-SA"/>
        </w:rPr>
        <w:t xml:space="preserve">Additional information summarising the </w:t>
      </w:r>
      <w:r w:rsidRPr="001740DC">
        <w:rPr>
          <w:rFonts w:cs="Arial"/>
          <w:szCs w:val="22"/>
          <w:lang w:eastAsia="en-GB" w:bidi="ar-SA"/>
        </w:rPr>
        <w:t xml:space="preserve">chronology of </w:t>
      </w:r>
      <w:r>
        <w:rPr>
          <w:rFonts w:cs="Arial"/>
          <w:szCs w:val="22"/>
          <w:lang w:eastAsia="en-GB" w:bidi="ar-SA"/>
        </w:rPr>
        <w:t xml:space="preserve">FSANZ’s work on CMPF is listed </w:t>
      </w:r>
      <w:r w:rsidRPr="001740DC">
        <w:rPr>
          <w:rFonts w:cs="Arial"/>
          <w:szCs w:val="22"/>
          <w:lang w:eastAsia="en-GB" w:bidi="ar-SA"/>
        </w:rPr>
        <w:t xml:space="preserve">in Attachment 1. </w:t>
      </w:r>
    </w:p>
    <w:p w14:paraId="71F09C83" w14:textId="05334DD3" w:rsidR="00F04470" w:rsidRDefault="00F04470" w:rsidP="008E09E8">
      <w:pPr>
        <w:widowControl/>
        <w:autoSpaceDE w:val="0"/>
        <w:autoSpaceDN w:val="0"/>
        <w:adjustRightInd w:val="0"/>
        <w:rPr>
          <w:rFonts w:cs="Arial"/>
          <w:szCs w:val="22"/>
          <w:lang w:eastAsia="en-GB" w:bidi="ar-SA"/>
        </w:rPr>
      </w:pPr>
    </w:p>
    <w:p w14:paraId="55F62857" w14:textId="651FF216" w:rsidR="008E09E8" w:rsidRPr="008E09E8" w:rsidRDefault="008E09E8" w:rsidP="008E09E8">
      <w:pPr>
        <w:widowControl/>
        <w:autoSpaceDE w:val="0"/>
        <w:autoSpaceDN w:val="0"/>
        <w:adjustRightInd w:val="0"/>
        <w:rPr>
          <w:rFonts w:cs="Arial"/>
          <w:szCs w:val="22"/>
          <w:lang w:eastAsia="en-GB" w:bidi="ar-SA"/>
        </w:rPr>
      </w:pPr>
      <w:r w:rsidRPr="008E09E8">
        <w:rPr>
          <w:rFonts w:cs="Arial"/>
          <w:szCs w:val="22"/>
          <w:lang w:eastAsia="en-GB" w:bidi="ar-SA"/>
        </w:rPr>
        <w:t>Details of the</w:t>
      </w:r>
      <w:r w:rsidR="000409F5">
        <w:rPr>
          <w:rFonts w:cs="Arial"/>
          <w:szCs w:val="22"/>
          <w:lang w:eastAsia="en-GB" w:bidi="ar-SA"/>
        </w:rPr>
        <w:t xml:space="preserve"> P</w:t>
      </w:r>
      <w:r w:rsidRPr="008E09E8">
        <w:rPr>
          <w:rFonts w:cs="Arial"/>
          <w:szCs w:val="22"/>
          <w:lang w:eastAsia="en-GB" w:bidi="ar-SA"/>
        </w:rPr>
        <w:t>roposal</w:t>
      </w:r>
      <w:r w:rsidR="000B3C28">
        <w:rPr>
          <w:rFonts w:cs="Arial"/>
          <w:szCs w:val="22"/>
          <w:lang w:eastAsia="en-GB" w:bidi="ar-SA"/>
        </w:rPr>
        <w:t>’s</w:t>
      </w:r>
      <w:r w:rsidRPr="008E09E8">
        <w:rPr>
          <w:rFonts w:cs="Arial"/>
          <w:szCs w:val="22"/>
          <w:lang w:eastAsia="en-GB" w:bidi="ar-SA"/>
        </w:rPr>
        <w:t xml:space="preserve"> objectives, scope, and methodology were </w:t>
      </w:r>
      <w:r w:rsidR="008332D7">
        <w:rPr>
          <w:rFonts w:cs="Arial"/>
          <w:szCs w:val="22"/>
          <w:lang w:eastAsia="en-GB" w:bidi="ar-SA"/>
        </w:rPr>
        <w:t>outlined</w:t>
      </w:r>
      <w:r w:rsidR="008332D7" w:rsidRPr="008E09E8">
        <w:rPr>
          <w:rFonts w:cs="Arial"/>
          <w:szCs w:val="22"/>
          <w:lang w:eastAsia="en-GB" w:bidi="ar-SA"/>
        </w:rPr>
        <w:t xml:space="preserve"> </w:t>
      </w:r>
      <w:r w:rsidRPr="008E09E8">
        <w:rPr>
          <w:rFonts w:cs="Arial"/>
          <w:szCs w:val="22"/>
          <w:lang w:eastAsia="en-GB" w:bidi="ar-SA"/>
        </w:rPr>
        <w:t>in the November</w:t>
      </w:r>
      <w:r w:rsidR="00E52098">
        <w:rPr>
          <w:rFonts w:cs="Arial"/>
          <w:szCs w:val="22"/>
          <w:lang w:eastAsia="en-GB" w:bidi="ar-SA"/>
        </w:rPr>
        <w:t xml:space="preserve"> 2014</w:t>
      </w:r>
      <w:r w:rsidRPr="008E09E8">
        <w:rPr>
          <w:rFonts w:cs="Arial"/>
          <w:szCs w:val="22"/>
          <w:lang w:eastAsia="en-GB" w:bidi="ar-SA"/>
        </w:rPr>
        <w:t xml:space="preserve"> </w:t>
      </w:r>
      <w:r w:rsidR="00F04470">
        <w:rPr>
          <w:rFonts w:cs="Arial"/>
          <w:szCs w:val="22"/>
          <w:lang w:eastAsia="en-GB" w:bidi="ar-SA"/>
        </w:rPr>
        <w:t>Consultation</w:t>
      </w:r>
      <w:r w:rsidRPr="008E09E8">
        <w:rPr>
          <w:rFonts w:cs="Arial"/>
          <w:szCs w:val="22"/>
          <w:lang w:eastAsia="en-GB" w:bidi="ar-SA"/>
        </w:rPr>
        <w:t xml:space="preserve"> </w:t>
      </w:r>
      <w:r w:rsidR="00F04470">
        <w:rPr>
          <w:rFonts w:cs="Arial"/>
          <w:szCs w:val="22"/>
          <w:lang w:eastAsia="en-GB" w:bidi="ar-SA"/>
        </w:rPr>
        <w:t>P</w:t>
      </w:r>
      <w:r w:rsidRPr="008E09E8">
        <w:rPr>
          <w:rFonts w:cs="Arial"/>
          <w:szCs w:val="22"/>
          <w:lang w:eastAsia="en-GB" w:bidi="ar-SA"/>
        </w:rPr>
        <w:t xml:space="preserve">aper </w:t>
      </w:r>
      <w:r w:rsidR="00F04470">
        <w:rPr>
          <w:rFonts w:cs="Arial"/>
          <w:szCs w:val="22"/>
          <w:lang w:eastAsia="en-GB" w:bidi="ar-SA"/>
        </w:rPr>
        <w:t>and summarised in the June 2016 Call for Submissions</w:t>
      </w:r>
      <w:r w:rsidR="008332D7">
        <w:rPr>
          <w:rFonts w:cs="Arial"/>
          <w:szCs w:val="22"/>
          <w:lang w:eastAsia="en-GB" w:bidi="ar-SA"/>
        </w:rPr>
        <w:t xml:space="preserve"> that </w:t>
      </w:r>
      <w:r w:rsidR="00F04470">
        <w:rPr>
          <w:rFonts w:cs="Arial"/>
          <w:szCs w:val="22"/>
          <w:lang w:eastAsia="en-GB" w:bidi="ar-SA"/>
        </w:rPr>
        <w:t xml:space="preserve">are </w:t>
      </w:r>
      <w:hyperlink r:id="rId22" w:history="1">
        <w:r w:rsidRPr="001740DC">
          <w:rPr>
            <w:rStyle w:val="Hyperlink"/>
            <w:color w:val="00B0F0"/>
            <w:szCs w:val="22"/>
          </w:rPr>
          <w:t xml:space="preserve">available </w:t>
        </w:r>
        <w:r w:rsidR="000409F5" w:rsidRPr="001740DC">
          <w:rPr>
            <w:rStyle w:val="Hyperlink"/>
            <w:color w:val="00B0F0"/>
            <w:szCs w:val="22"/>
          </w:rPr>
          <w:t>on</w:t>
        </w:r>
        <w:r w:rsidR="00E52098" w:rsidRPr="001740DC">
          <w:rPr>
            <w:rStyle w:val="Hyperlink"/>
            <w:color w:val="00B0F0"/>
            <w:szCs w:val="22"/>
          </w:rPr>
          <w:t xml:space="preserve"> the FSANZ website</w:t>
        </w:r>
      </w:hyperlink>
      <w:r w:rsidRPr="008E09E8">
        <w:rPr>
          <w:rFonts w:cs="Arial"/>
          <w:szCs w:val="22"/>
          <w:lang w:eastAsia="en-GB" w:bidi="ar-SA"/>
        </w:rPr>
        <w:t>.</w:t>
      </w:r>
    </w:p>
    <w:p w14:paraId="5783932C" w14:textId="25C5D888" w:rsidR="005C0BD0" w:rsidRPr="005C0BD0" w:rsidRDefault="00AC259E" w:rsidP="00AC259E">
      <w:pPr>
        <w:pStyle w:val="Heading2"/>
        <w:ind w:left="0" w:firstLine="0"/>
      </w:pPr>
      <w:bookmarkStart w:id="29" w:name="_Toc493774519"/>
      <w:r>
        <w:t>1</w:t>
      </w:r>
      <w:r w:rsidR="005C0BD0" w:rsidRPr="005C0BD0">
        <w:t>.</w:t>
      </w:r>
      <w:r w:rsidR="005E1563">
        <w:t>2</w:t>
      </w:r>
      <w:r w:rsidR="005C0BD0" w:rsidRPr="005C0BD0">
        <w:tab/>
      </w:r>
      <w:r w:rsidR="009A1951">
        <w:t>Cu</w:t>
      </w:r>
      <w:r w:rsidR="005C0BD0" w:rsidRPr="005C0BD0">
        <w:t xml:space="preserve">rrent </w:t>
      </w:r>
      <w:r w:rsidR="009A1951">
        <w:t>s</w:t>
      </w:r>
      <w:r w:rsidR="005C0BD0" w:rsidRPr="005C0BD0">
        <w:t>tandard</w:t>
      </w:r>
      <w:bookmarkEnd w:id="25"/>
      <w:bookmarkEnd w:id="26"/>
      <w:bookmarkEnd w:id="27"/>
      <w:bookmarkEnd w:id="28"/>
      <w:r w:rsidR="007B6C84">
        <w:t>s</w:t>
      </w:r>
      <w:bookmarkEnd w:id="29"/>
    </w:p>
    <w:p w14:paraId="286B0F0F" w14:textId="08DAEE6A" w:rsidR="000B3C28" w:rsidRDefault="00C4076E" w:rsidP="00C4076E">
      <w:pPr>
        <w:pStyle w:val="Default"/>
        <w:rPr>
          <w:sz w:val="22"/>
          <w:szCs w:val="22"/>
        </w:rPr>
      </w:pPr>
      <w:r>
        <w:rPr>
          <w:sz w:val="22"/>
          <w:szCs w:val="22"/>
        </w:rPr>
        <w:t>F</w:t>
      </w:r>
      <w:r w:rsidRPr="00C4076E">
        <w:rPr>
          <w:sz w:val="22"/>
          <w:szCs w:val="22"/>
        </w:rPr>
        <w:t>ood safety risks from CMPF are manag</w:t>
      </w:r>
      <w:r w:rsidR="000409F5">
        <w:rPr>
          <w:sz w:val="22"/>
          <w:szCs w:val="22"/>
        </w:rPr>
        <w:t xml:space="preserve">ed primarily through </w:t>
      </w:r>
      <w:r w:rsidR="006C614D">
        <w:rPr>
          <w:sz w:val="22"/>
          <w:szCs w:val="22"/>
        </w:rPr>
        <w:t xml:space="preserve">the Food Acts of New Zealand and the Australian States </w:t>
      </w:r>
      <w:r w:rsidR="000409F5">
        <w:rPr>
          <w:sz w:val="22"/>
          <w:szCs w:val="22"/>
        </w:rPr>
        <w:t xml:space="preserve">and </w:t>
      </w:r>
      <w:r w:rsidR="006C614D">
        <w:rPr>
          <w:sz w:val="22"/>
          <w:szCs w:val="22"/>
        </w:rPr>
        <w:t>Territories</w:t>
      </w:r>
      <w:r>
        <w:rPr>
          <w:i/>
          <w:iCs/>
          <w:sz w:val="22"/>
          <w:szCs w:val="22"/>
        </w:rPr>
        <w:t>.</w:t>
      </w:r>
      <w:r w:rsidRPr="00C4076E">
        <w:rPr>
          <w:sz w:val="22"/>
          <w:szCs w:val="22"/>
        </w:rPr>
        <w:t xml:space="preserve"> </w:t>
      </w:r>
      <w:r w:rsidR="000409F5" w:rsidRPr="000409F5">
        <w:rPr>
          <w:sz w:val="22"/>
          <w:szCs w:val="22"/>
        </w:rPr>
        <w:t xml:space="preserve">These </w:t>
      </w:r>
      <w:r w:rsidR="00231912">
        <w:rPr>
          <w:sz w:val="22"/>
          <w:szCs w:val="22"/>
        </w:rPr>
        <w:t xml:space="preserve">Acts </w:t>
      </w:r>
      <w:r w:rsidR="000409F5" w:rsidRPr="000409F5">
        <w:rPr>
          <w:sz w:val="22"/>
          <w:szCs w:val="22"/>
        </w:rPr>
        <w:t xml:space="preserve">make it an offence to sell food packaging or handling materials that are unsafe or will make the food unsafe. </w:t>
      </w:r>
    </w:p>
    <w:p w14:paraId="5ECE3138" w14:textId="77777777" w:rsidR="000B3C28" w:rsidRDefault="000B3C28" w:rsidP="00C4076E">
      <w:pPr>
        <w:pStyle w:val="Default"/>
        <w:rPr>
          <w:sz w:val="22"/>
          <w:szCs w:val="22"/>
        </w:rPr>
      </w:pPr>
    </w:p>
    <w:p w14:paraId="3E84C839" w14:textId="02A442DE" w:rsidR="000B3C28" w:rsidRDefault="000B3C28" w:rsidP="00C4076E">
      <w:pPr>
        <w:pStyle w:val="Default"/>
        <w:rPr>
          <w:sz w:val="22"/>
          <w:szCs w:val="22"/>
        </w:rPr>
      </w:pPr>
      <w:r w:rsidRPr="00A5231D">
        <w:rPr>
          <w:sz w:val="22"/>
          <w:szCs w:val="22"/>
        </w:rPr>
        <w:t xml:space="preserve">The </w:t>
      </w:r>
      <w:r w:rsidRPr="00A5231D">
        <w:rPr>
          <w:i/>
          <w:sz w:val="22"/>
          <w:szCs w:val="22"/>
        </w:rPr>
        <w:t>Australian New Zealand Food Standards Code</w:t>
      </w:r>
      <w:r w:rsidRPr="00A5231D">
        <w:rPr>
          <w:sz w:val="22"/>
          <w:szCs w:val="22"/>
        </w:rPr>
        <w:t xml:space="preserve"> (the Code) contains various requirements which apply to food businesses and to food for sale. </w:t>
      </w:r>
      <w:r>
        <w:rPr>
          <w:sz w:val="22"/>
          <w:szCs w:val="22"/>
        </w:rPr>
        <w:t xml:space="preserve">The </w:t>
      </w:r>
      <w:r w:rsidRPr="00A5231D">
        <w:rPr>
          <w:sz w:val="22"/>
          <w:szCs w:val="22"/>
        </w:rPr>
        <w:t>Food Acts also make it an offence to contravene these requirements</w:t>
      </w:r>
      <w:r>
        <w:rPr>
          <w:sz w:val="22"/>
          <w:szCs w:val="22"/>
        </w:rPr>
        <w:t>.</w:t>
      </w:r>
    </w:p>
    <w:p w14:paraId="107FC56E" w14:textId="77777777" w:rsidR="000B3C28" w:rsidRDefault="000B3C28" w:rsidP="00C4076E">
      <w:pPr>
        <w:pStyle w:val="Default"/>
        <w:rPr>
          <w:sz w:val="22"/>
          <w:szCs w:val="22"/>
        </w:rPr>
      </w:pPr>
    </w:p>
    <w:p w14:paraId="55D38286" w14:textId="5F67B9F1" w:rsidR="00C4076E" w:rsidRDefault="000B3C28" w:rsidP="00C4076E">
      <w:pPr>
        <w:pStyle w:val="Default"/>
        <w:rPr>
          <w:sz w:val="22"/>
          <w:szCs w:val="22"/>
        </w:rPr>
      </w:pPr>
      <w:r>
        <w:rPr>
          <w:sz w:val="22"/>
          <w:szCs w:val="22"/>
        </w:rPr>
        <w:t xml:space="preserve">The Code’s requirements relating to food </w:t>
      </w:r>
      <w:r w:rsidR="00C4076E">
        <w:rPr>
          <w:sz w:val="22"/>
          <w:szCs w:val="22"/>
        </w:rPr>
        <w:t xml:space="preserve">packaging requirements </w:t>
      </w:r>
      <w:r w:rsidR="006C614D">
        <w:rPr>
          <w:sz w:val="22"/>
          <w:szCs w:val="22"/>
        </w:rPr>
        <w:t xml:space="preserve">pertinent to both Australia and New Zealand </w:t>
      </w:r>
      <w:r w:rsidR="00C4076E">
        <w:rPr>
          <w:sz w:val="22"/>
          <w:szCs w:val="22"/>
        </w:rPr>
        <w:t xml:space="preserve">include </w:t>
      </w:r>
      <w:r>
        <w:rPr>
          <w:sz w:val="22"/>
          <w:szCs w:val="22"/>
        </w:rPr>
        <w:t xml:space="preserve">the </w:t>
      </w:r>
      <w:r w:rsidR="00C4076E">
        <w:rPr>
          <w:sz w:val="22"/>
          <w:szCs w:val="22"/>
        </w:rPr>
        <w:t>general packaging requirements in Standard 1.1.1 (subsections1.1.1—10(10) and (11) (</w:t>
      </w:r>
      <w:r w:rsidR="00C4076E">
        <w:rPr>
          <w:i/>
          <w:iCs/>
          <w:sz w:val="22"/>
          <w:szCs w:val="22"/>
        </w:rPr>
        <w:t>Packaging requirements</w:t>
      </w:r>
      <w:r w:rsidR="00C4076E">
        <w:rPr>
          <w:sz w:val="22"/>
          <w:szCs w:val="22"/>
        </w:rPr>
        <w:t xml:space="preserve">) and maximum levels (MLs) for three packaging contaminants, regulated by subsection 1.1.1—10(5) and Standard 1.4.1. Details of maximum levels for specific foods are provided in Schedule 19 (sections S19—4 (metal contaminants) and S19—5 (non-metal contaminants). Standard 2.6.2 has requirements for chemical limits in packaged water which align with World Health Organization drinking water guidelines (WHO, 2011). </w:t>
      </w:r>
    </w:p>
    <w:p w14:paraId="13901AB6" w14:textId="77777777" w:rsidR="00C4076E" w:rsidRDefault="00C4076E" w:rsidP="00C4076E">
      <w:pPr>
        <w:rPr>
          <w:szCs w:val="22"/>
        </w:rPr>
      </w:pPr>
    </w:p>
    <w:p w14:paraId="43C5FE68" w14:textId="009AC697" w:rsidR="006C614D" w:rsidRDefault="00C4076E" w:rsidP="006C614D">
      <w:pPr>
        <w:rPr>
          <w:szCs w:val="22"/>
        </w:rPr>
      </w:pPr>
      <w:r>
        <w:rPr>
          <w:szCs w:val="22"/>
        </w:rPr>
        <w:t xml:space="preserve">For Australia, Standard 3.2.2 and Standard 4.2.1 have requirements pertaining to food packaging. Standard 3.2.2 contains requirements for food businesses (including manufacturers, </w:t>
      </w:r>
      <w:r w:rsidR="006F2971">
        <w:rPr>
          <w:szCs w:val="22"/>
        </w:rPr>
        <w:t xml:space="preserve">caterers, </w:t>
      </w:r>
      <w:r>
        <w:rPr>
          <w:szCs w:val="22"/>
        </w:rPr>
        <w:t>importers and retailers) regarding the safety of packaging. Standard 4.2.1 also contains requirements for seafood businesses regarding t</w:t>
      </w:r>
      <w:r w:rsidR="00A60112">
        <w:rPr>
          <w:szCs w:val="22"/>
        </w:rPr>
        <w:t>he safety of packaging</w:t>
      </w:r>
      <w:r w:rsidR="006C614D">
        <w:rPr>
          <w:szCs w:val="22"/>
        </w:rPr>
        <w:t>.</w:t>
      </w:r>
    </w:p>
    <w:p w14:paraId="7E986581" w14:textId="77777777" w:rsidR="006C614D" w:rsidRDefault="006C614D" w:rsidP="006C614D">
      <w:pPr>
        <w:rPr>
          <w:szCs w:val="22"/>
        </w:rPr>
      </w:pPr>
    </w:p>
    <w:p w14:paraId="6DB1F358" w14:textId="15971049" w:rsidR="005C0BD0" w:rsidRDefault="006C614D" w:rsidP="006C614D">
      <w:pPr>
        <w:rPr>
          <w:szCs w:val="22"/>
        </w:rPr>
      </w:pPr>
      <w:r>
        <w:rPr>
          <w:szCs w:val="22"/>
        </w:rPr>
        <w:t xml:space="preserve">The relevant provisions of the Food Acts and of the Code are detailed in the Supporting Documents 1 and 2 released with the November 2014 Consultation Paper. </w:t>
      </w:r>
      <w:r w:rsidR="004A761F">
        <w:rPr>
          <w:szCs w:val="22"/>
        </w:rPr>
        <w:t xml:space="preserve">These </w:t>
      </w:r>
      <w:r>
        <w:rPr>
          <w:szCs w:val="22"/>
        </w:rPr>
        <w:t xml:space="preserve">are </w:t>
      </w:r>
      <w:hyperlink r:id="rId23" w:history="1">
        <w:r w:rsidRPr="0069256B">
          <w:rPr>
            <w:rStyle w:val="Hyperlink"/>
            <w:color w:val="00B0F0"/>
            <w:szCs w:val="22"/>
          </w:rPr>
          <w:t>available on the FSANZ website</w:t>
        </w:r>
      </w:hyperlink>
      <w:r w:rsidRPr="0069256B">
        <w:rPr>
          <w:rStyle w:val="Hyperlink"/>
          <w:color w:val="00B0F0"/>
        </w:rPr>
        <w:t>.</w:t>
      </w:r>
      <w:r w:rsidR="0069256B">
        <w:rPr>
          <w:szCs w:val="22"/>
        </w:rPr>
        <w:t xml:space="preserve"> </w:t>
      </w:r>
    </w:p>
    <w:p w14:paraId="2ADAA82A" w14:textId="77777777" w:rsidR="006C614D" w:rsidRDefault="006C614D" w:rsidP="006C614D">
      <w:pPr>
        <w:rPr>
          <w:szCs w:val="22"/>
        </w:rPr>
      </w:pPr>
    </w:p>
    <w:p w14:paraId="5ED17A8B" w14:textId="5FE88621" w:rsidR="005C0BD0" w:rsidRPr="005C0BD0" w:rsidRDefault="00AC259E" w:rsidP="00CB5D88">
      <w:pPr>
        <w:pStyle w:val="Heading2"/>
        <w:rPr>
          <w:u w:color="FFFF00"/>
        </w:rPr>
      </w:pPr>
      <w:bookmarkStart w:id="30" w:name="_Toc286391007"/>
      <w:bookmarkStart w:id="31" w:name="_Toc300933423"/>
      <w:bookmarkStart w:id="32" w:name="_Toc309291835"/>
      <w:bookmarkStart w:id="33" w:name="_Toc309385452"/>
      <w:bookmarkStart w:id="34" w:name="_Toc493774520"/>
      <w:bookmarkStart w:id="35" w:name="_Toc175381432"/>
      <w:r>
        <w:rPr>
          <w:u w:color="FFFF00"/>
        </w:rPr>
        <w:t>1</w:t>
      </w:r>
      <w:r w:rsidR="005E1563">
        <w:rPr>
          <w:u w:color="FFFF00"/>
        </w:rPr>
        <w:t>.3</w:t>
      </w:r>
      <w:r w:rsidR="005C0BD0" w:rsidRPr="005C0BD0">
        <w:rPr>
          <w:u w:color="FFFF00"/>
        </w:rPr>
        <w:tab/>
        <w:t xml:space="preserve">Reasons for </w:t>
      </w:r>
      <w:bookmarkEnd w:id="30"/>
      <w:bookmarkEnd w:id="31"/>
      <w:r w:rsidR="005C0BD0" w:rsidRPr="00284453">
        <w:t>preparing the Proposal</w:t>
      </w:r>
      <w:bookmarkEnd w:id="32"/>
      <w:bookmarkEnd w:id="33"/>
      <w:bookmarkEnd w:id="34"/>
    </w:p>
    <w:p w14:paraId="7609B5E5" w14:textId="5C9624F9" w:rsidR="000F3AD9" w:rsidRDefault="00C4076E" w:rsidP="000F3AD9">
      <w:pPr>
        <w:rPr>
          <w:szCs w:val="22"/>
        </w:rPr>
      </w:pPr>
      <w:bookmarkStart w:id="36" w:name="_Toc309291836"/>
      <w:bookmarkStart w:id="37" w:name="_Toc309385453"/>
      <w:bookmarkEnd w:id="35"/>
      <w:r>
        <w:rPr>
          <w:szCs w:val="22"/>
        </w:rPr>
        <w:t xml:space="preserve">The Proposal was prepared to determine whether there are any public health and safety concerns from the migration of chemicals from virgin and recycled packaging into food and whether additional measures are required </w:t>
      </w:r>
      <w:r w:rsidR="004A761F">
        <w:rPr>
          <w:szCs w:val="22"/>
        </w:rPr>
        <w:t xml:space="preserve">for their </w:t>
      </w:r>
      <w:r>
        <w:rPr>
          <w:szCs w:val="22"/>
        </w:rPr>
        <w:t>manage</w:t>
      </w:r>
      <w:r w:rsidR="004A761F">
        <w:rPr>
          <w:szCs w:val="22"/>
        </w:rPr>
        <w:t>ment</w:t>
      </w:r>
      <w:r>
        <w:rPr>
          <w:szCs w:val="22"/>
        </w:rPr>
        <w:t>.</w:t>
      </w:r>
    </w:p>
    <w:p w14:paraId="72AE968D" w14:textId="6D93F731" w:rsidR="005C0BD0" w:rsidRPr="000F3AD9" w:rsidRDefault="005E1563" w:rsidP="000F3AD9">
      <w:pPr>
        <w:pStyle w:val="Heading2"/>
        <w:rPr>
          <w:u w:color="FFFF00"/>
        </w:rPr>
      </w:pPr>
      <w:bookmarkStart w:id="38" w:name="_Toc493774521"/>
      <w:r w:rsidRPr="000F3AD9">
        <w:rPr>
          <w:u w:color="FFFF00"/>
        </w:rPr>
        <w:t>1</w:t>
      </w:r>
      <w:r w:rsidR="005C0BD0" w:rsidRPr="000F3AD9">
        <w:rPr>
          <w:u w:color="FFFF00"/>
        </w:rPr>
        <w:t>.</w:t>
      </w:r>
      <w:r w:rsidR="00137C6A" w:rsidRPr="000F3AD9">
        <w:rPr>
          <w:u w:color="FFFF00"/>
        </w:rPr>
        <w:t>4</w:t>
      </w:r>
      <w:r w:rsidR="005C0BD0" w:rsidRPr="000F3AD9">
        <w:rPr>
          <w:u w:color="FFFF00"/>
        </w:rPr>
        <w:tab/>
        <w:t>Procedure for assessment</w:t>
      </w:r>
      <w:bookmarkEnd w:id="36"/>
      <w:bookmarkEnd w:id="37"/>
      <w:bookmarkEnd w:id="38"/>
    </w:p>
    <w:p w14:paraId="2ED29529" w14:textId="2491E6BB" w:rsidR="005C0BD0" w:rsidRDefault="00051F59" w:rsidP="005C0BD0">
      <w:pPr>
        <w:rPr>
          <w:szCs w:val="22"/>
        </w:rPr>
      </w:pPr>
      <w:r>
        <w:rPr>
          <w:szCs w:val="22"/>
        </w:rPr>
        <w:t>The Proposal was</w:t>
      </w:r>
      <w:r w:rsidR="00A60112">
        <w:rPr>
          <w:szCs w:val="22"/>
        </w:rPr>
        <w:t xml:space="preserve"> ass</w:t>
      </w:r>
      <w:r w:rsidR="000409F5">
        <w:rPr>
          <w:szCs w:val="22"/>
        </w:rPr>
        <w:t xml:space="preserve">essed under the Major Procedure </w:t>
      </w:r>
      <w:r w:rsidR="006C614D" w:rsidRPr="006C614D">
        <w:rPr>
          <w:rFonts w:cs="Arial"/>
        </w:rPr>
        <w:t xml:space="preserve"> </w:t>
      </w:r>
      <w:r w:rsidR="006C614D">
        <w:rPr>
          <w:rFonts w:cs="Arial"/>
        </w:rPr>
        <w:t xml:space="preserve">set out in Division 2 of Part 3 of the </w:t>
      </w:r>
      <w:r w:rsidR="006C614D" w:rsidRPr="00B031E2">
        <w:rPr>
          <w:i/>
          <w:iCs/>
        </w:rPr>
        <w:t>Food Standards Australia New Zealand Act 1991</w:t>
      </w:r>
      <w:r w:rsidR="006C614D">
        <w:rPr>
          <w:i/>
          <w:iCs/>
        </w:rPr>
        <w:t xml:space="preserve"> </w:t>
      </w:r>
      <w:r w:rsidR="006C614D" w:rsidRPr="00727F60">
        <w:rPr>
          <w:iCs/>
        </w:rPr>
        <w:t>(</w:t>
      </w:r>
      <w:r w:rsidR="006C614D">
        <w:rPr>
          <w:iCs/>
        </w:rPr>
        <w:t xml:space="preserve">the </w:t>
      </w:r>
      <w:r w:rsidR="006C614D">
        <w:rPr>
          <w:rFonts w:cs="Arial"/>
        </w:rPr>
        <w:t>FSANZ Act)</w:t>
      </w:r>
      <w:r w:rsidR="006C614D" w:rsidRPr="007A60E1">
        <w:t>.</w:t>
      </w:r>
      <w:r w:rsidR="006C614D">
        <w:t xml:space="preserve"> </w:t>
      </w:r>
      <w:r w:rsidR="00231912">
        <w:t>The Proposal</w:t>
      </w:r>
      <w:r w:rsidR="006C614D">
        <w:t xml:space="preserve"> </w:t>
      </w:r>
      <w:r w:rsidR="006C614D">
        <w:rPr>
          <w:szCs w:val="22"/>
        </w:rPr>
        <w:t>involved</w:t>
      </w:r>
      <w:r w:rsidR="00A60112">
        <w:rPr>
          <w:szCs w:val="22"/>
        </w:rPr>
        <w:t xml:space="preserve"> two rounds of public consultation</w:t>
      </w:r>
      <w:r w:rsidR="006C614D">
        <w:rPr>
          <w:szCs w:val="22"/>
        </w:rPr>
        <w:t xml:space="preserve"> – the </w:t>
      </w:r>
      <w:r w:rsidR="006C614D" w:rsidRPr="008E09E8">
        <w:rPr>
          <w:rFonts w:cs="Arial"/>
          <w:szCs w:val="22"/>
          <w:lang w:eastAsia="en-GB" w:bidi="ar-SA"/>
        </w:rPr>
        <w:t>November</w:t>
      </w:r>
      <w:r w:rsidR="006C614D">
        <w:rPr>
          <w:rFonts w:cs="Arial"/>
          <w:szCs w:val="22"/>
          <w:lang w:eastAsia="en-GB" w:bidi="ar-SA"/>
        </w:rPr>
        <w:t xml:space="preserve"> 2014</w:t>
      </w:r>
      <w:r w:rsidR="006C614D" w:rsidRPr="008E09E8">
        <w:rPr>
          <w:rFonts w:cs="Arial"/>
          <w:szCs w:val="22"/>
          <w:lang w:eastAsia="en-GB" w:bidi="ar-SA"/>
        </w:rPr>
        <w:t xml:space="preserve"> </w:t>
      </w:r>
      <w:r w:rsidR="006C614D">
        <w:rPr>
          <w:rFonts w:cs="Arial"/>
          <w:szCs w:val="22"/>
          <w:lang w:eastAsia="en-GB" w:bidi="ar-SA"/>
        </w:rPr>
        <w:t>Consultation</w:t>
      </w:r>
      <w:r w:rsidR="006C614D" w:rsidRPr="008E09E8">
        <w:rPr>
          <w:rFonts w:cs="Arial"/>
          <w:szCs w:val="22"/>
          <w:lang w:eastAsia="en-GB" w:bidi="ar-SA"/>
        </w:rPr>
        <w:t xml:space="preserve"> </w:t>
      </w:r>
      <w:r w:rsidR="006C614D">
        <w:rPr>
          <w:rFonts w:cs="Arial"/>
          <w:szCs w:val="22"/>
          <w:lang w:eastAsia="en-GB" w:bidi="ar-SA"/>
        </w:rPr>
        <w:t>P</w:t>
      </w:r>
      <w:r w:rsidR="006C614D" w:rsidRPr="008E09E8">
        <w:rPr>
          <w:rFonts w:cs="Arial"/>
          <w:szCs w:val="22"/>
          <w:lang w:eastAsia="en-GB" w:bidi="ar-SA"/>
        </w:rPr>
        <w:t xml:space="preserve">aper </w:t>
      </w:r>
      <w:r w:rsidR="006C614D">
        <w:rPr>
          <w:rFonts w:cs="Arial"/>
          <w:szCs w:val="22"/>
          <w:lang w:eastAsia="en-GB" w:bidi="ar-SA"/>
        </w:rPr>
        <w:t>and the June 2016 Call for Submissions.</w:t>
      </w:r>
    </w:p>
    <w:p w14:paraId="5FB11BFC" w14:textId="36BCAD49" w:rsidR="006D4EE6" w:rsidRDefault="00A670A7" w:rsidP="006D4EE6">
      <w:pPr>
        <w:pStyle w:val="Heading2"/>
      </w:pPr>
      <w:bookmarkStart w:id="39" w:name="_Toc493774522"/>
      <w:r>
        <w:t>1</w:t>
      </w:r>
      <w:r w:rsidR="006D4EE6">
        <w:t>.</w:t>
      </w:r>
      <w:r w:rsidR="00137C6A">
        <w:t>5</w:t>
      </w:r>
      <w:r w:rsidR="006D4EE6">
        <w:tab/>
        <w:t>Decision</w:t>
      </w:r>
      <w:bookmarkEnd w:id="39"/>
    </w:p>
    <w:p w14:paraId="7C09AF03" w14:textId="31A198B0" w:rsidR="008E09E8" w:rsidRDefault="006C614D" w:rsidP="000409F5">
      <w:pPr>
        <w:widowControl/>
        <w:autoSpaceDE w:val="0"/>
        <w:autoSpaceDN w:val="0"/>
        <w:adjustRightInd w:val="0"/>
      </w:pPr>
      <w:r w:rsidRPr="007A60E1">
        <w:t>The Proposal was abandoned</w:t>
      </w:r>
      <w:r>
        <w:t xml:space="preserve"> under paragraph 60(b) of the FSANZ Act</w:t>
      </w:r>
      <w:r w:rsidR="000409F5" w:rsidRPr="000409F5">
        <w:rPr>
          <w:rFonts w:cs="Arial"/>
          <w:szCs w:val="22"/>
          <w:lang w:eastAsia="en-GB" w:bidi="ar-SA"/>
        </w:rPr>
        <w:t>.</w:t>
      </w:r>
    </w:p>
    <w:p w14:paraId="2DC9CABC" w14:textId="045A6B9A" w:rsidR="005C0BD0" w:rsidRPr="005C0BD0" w:rsidRDefault="00A670A7" w:rsidP="0022793C">
      <w:pPr>
        <w:pStyle w:val="Heading1"/>
      </w:pPr>
      <w:bookmarkStart w:id="40" w:name="_Toc300933424"/>
      <w:bookmarkStart w:id="41" w:name="_Toc309291837"/>
      <w:bookmarkStart w:id="42" w:name="_Toc309385454"/>
      <w:bookmarkStart w:id="43" w:name="_Toc493774523"/>
      <w:bookmarkStart w:id="44" w:name="_Toc300933435"/>
      <w:bookmarkStart w:id="45" w:name="_Toc300933564"/>
      <w:bookmarkStart w:id="46" w:name="_Toc301535595"/>
      <w:bookmarkStart w:id="47" w:name="_Toc11735630"/>
      <w:bookmarkStart w:id="48" w:name="_Toc29883114"/>
      <w:bookmarkStart w:id="49" w:name="_Toc41906801"/>
      <w:bookmarkStart w:id="50" w:name="_Toc41907548"/>
      <w:bookmarkStart w:id="51" w:name="_Toc120358578"/>
      <w:bookmarkStart w:id="52" w:name="_Toc175381435"/>
      <w:bookmarkEnd w:id="9"/>
      <w:bookmarkEnd w:id="10"/>
      <w:bookmarkEnd w:id="11"/>
      <w:bookmarkEnd w:id="12"/>
      <w:bookmarkEnd w:id="13"/>
      <w:bookmarkEnd w:id="18"/>
      <w:bookmarkEnd w:id="19"/>
      <w:r>
        <w:t>2</w:t>
      </w:r>
      <w:r w:rsidR="005C0BD0" w:rsidRPr="005C0BD0">
        <w:tab/>
        <w:t xml:space="preserve">Summary of the </w:t>
      </w:r>
      <w:bookmarkEnd w:id="40"/>
      <w:bookmarkEnd w:id="41"/>
      <w:bookmarkEnd w:id="42"/>
      <w:r w:rsidR="004C19A6">
        <w:t>assessment</w:t>
      </w:r>
      <w:bookmarkEnd w:id="43"/>
      <w:r w:rsidR="004C19A6">
        <w:t xml:space="preserve"> </w:t>
      </w:r>
    </w:p>
    <w:p w14:paraId="43882F11" w14:textId="5637944F" w:rsidR="001D711A" w:rsidRPr="001D711A" w:rsidRDefault="001D711A" w:rsidP="00424BB9">
      <w:pPr>
        <w:pStyle w:val="Heading2"/>
        <w:rPr>
          <w:color w:val="000000" w:themeColor="text1"/>
        </w:rPr>
      </w:pPr>
      <w:bookmarkStart w:id="53" w:name="_Toc370225386"/>
      <w:bookmarkStart w:id="54" w:name="_Toc379991077"/>
      <w:bookmarkStart w:id="55" w:name="_Toc493774524"/>
      <w:bookmarkStart w:id="56" w:name="_Toc370223472"/>
      <w:bookmarkStart w:id="57" w:name="_Toc309291812"/>
      <w:bookmarkStart w:id="58" w:name="_Toc309291813"/>
      <w:r>
        <w:t>2.1</w:t>
      </w:r>
      <w:r w:rsidRPr="00326A88">
        <w:rPr>
          <w:color w:val="000000" w:themeColor="text1"/>
        </w:rPr>
        <w:tab/>
        <w:t>Summary of issues raised in submissions</w:t>
      </w:r>
      <w:bookmarkEnd w:id="53"/>
      <w:bookmarkEnd w:id="54"/>
      <w:bookmarkEnd w:id="55"/>
    </w:p>
    <w:p w14:paraId="5A827544" w14:textId="77777777" w:rsidR="001D711A" w:rsidRDefault="001D711A" w:rsidP="001D711A">
      <w:pPr>
        <w:rPr>
          <w:rFonts w:cs="Arial"/>
        </w:rPr>
      </w:pPr>
      <w:r w:rsidRPr="00F4714B">
        <w:rPr>
          <w:rFonts w:cs="Arial"/>
        </w:rPr>
        <w:t>Consul</w:t>
      </w:r>
      <w:r>
        <w:rPr>
          <w:rFonts w:cs="Arial"/>
        </w:rPr>
        <w:t xml:space="preserve">tation with a range of industry, government and consumer stakeholders </w:t>
      </w:r>
      <w:r w:rsidRPr="00F4714B">
        <w:rPr>
          <w:rFonts w:cs="Arial"/>
        </w:rPr>
        <w:t>(through meetings, surveys and respo</w:t>
      </w:r>
      <w:r>
        <w:rPr>
          <w:rFonts w:cs="Arial"/>
        </w:rPr>
        <w:t xml:space="preserve">nses to the consultation papers) guided FSANZ in its considerations for P1034. </w:t>
      </w:r>
    </w:p>
    <w:p w14:paraId="59D9A697" w14:textId="77777777" w:rsidR="001D711A" w:rsidRDefault="001D711A" w:rsidP="001D711A">
      <w:pPr>
        <w:rPr>
          <w:rFonts w:cs="Arial"/>
        </w:rPr>
      </w:pPr>
    </w:p>
    <w:p w14:paraId="0DD8D67C" w14:textId="77777777" w:rsidR="001D711A" w:rsidRDefault="001D711A" w:rsidP="001D711A">
      <w:pPr>
        <w:rPr>
          <w:rFonts w:cs="Arial"/>
        </w:rPr>
      </w:pPr>
      <w:r w:rsidRPr="007D221B">
        <w:rPr>
          <w:rFonts w:cs="Arial"/>
        </w:rPr>
        <w:t>Preliminary consultations were undertaken with an Industry Advisory Group comprising peak bodies, packaging industry members and large manufacturers/brand owners. FSANZ subsequently established a Packaging Advisory Group (PAG) which had broader stakeholder representation, including smaller industry members, a consumer representative and jurisdictions.</w:t>
      </w:r>
    </w:p>
    <w:p w14:paraId="52A90E8A" w14:textId="77777777" w:rsidR="001D711A" w:rsidRDefault="001D711A" w:rsidP="001D711A">
      <w:pPr>
        <w:rPr>
          <w:rFonts w:cs="Arial"/>
        </w:rPr>
      </w:pPr>
    </w:p>
    <w:p w14:paraId="3A9FA684" w14:textId="77777777" w:rsidR="001D711A" w:rsidRDefault="001D711A" w:rsidP="001D711A">
      <w:pPr>
        <w:rPr>
          <w:szCs w:val="22"/>
        </w:rPr>
      </w:pPr>
      <w:r w:rsidRPr="007F3BF7">
        <w:rPr>
          <w:iCs/>
          <w:szCs w:val="22"/>
        </w:rPr>
        <w:t xml:space="preserve">Section 73 of the FSANZ Act requires FSANZ to </w:t>
      </w:r>
      <w:r w:rsidRPr="007F3BF7">
        <w:rPr>
          <w:iCs/>
          <w:szCs w:val="22"/>
          <w:lang w:eastAsia="en-GB"/>
        </w:rPr>
        <w:t xml:space="preserve">have regard to all submissions made </w:t>
      </w:r>
      <w:r>
        <w:rPr>
          <w:iCs/>
          <w:szCs w:val="22"/>
          <w:lang w:eastAsia="en-GB"/>
        </w:rPr>
        <w:t xml:space="preserve">in response to a Call for Submission </w:t>
      </w:r>
      <w:r w:rsidRPr="007F3BF7">
        <w:rPr>
          <w:iCs/>
          <w:szCs w:val="22"/>
          <w:lang w:eastAsia="en-GB"/>
        </w:rPr>
        <w:t xml:space="preserve">during the submission period when making a decision whether to prepare a Standard or a variation to a Standard; or to abandon the Proposal. </w:t>
      </w:r>
      <w:r>
        <w:t xml:space="preserve"> </w:t>
      </w:r>
      <w:r>
        <w:rPr>
          <w:szCs w:val="22"/>
        </w:rPr>
        <w:t>FSANZ received 18 submissions in response to the 2016 Call for Submissions. These submissions came from both industry and state/territory government departments.</w:t>
      </w:r>
    </w:p>
    <w:p w14:paraId="19C3DC63" w14:textId="77777777" w:rsidR="001D711A" w:rsidRDefault="001D711A" w:rsidP="001D711A"/>
    <w:p w14:paraId="635E572B" w14:textId="6FDDDCE0" w:rsidR="001D711A" w:rsidRDefault="001D711A" w:rsidP="001D711A">
      <w:pPr>
        <w:rPr>
          <w:rFonts w:cs="Arial"/>
        </w:rPr>
      </w:pPr>
      <w:r>
        <w:rPr>
          <w:rFonts w:cs="Arial"/>
        </w:rPr>
        <w:t xml:space="preserve">FSANZ has had regard to and analysed all submissions received </w:t>
      </w:r>
      <w:r w:rsidRPr="008E139F">
        <w:rPr>
          <w:rFonts w:cs="Arial"/>
        </w:rPr>
        <w:t>in response to the</w:t>
      </w:r>
      <w:r>
        <w:rPr>
          <w:rFonts w:cs="Arial"/>
        </w:rPr>
        <w:t xml:space="preserve"> November</w:t>
      </w:r>
      <w:r w:rsidRPr="008E139F">
        <w:rPr>
          <w:rFonts w:cs="Arial"/>
        </w:rPr>
        <w:t xml:space="preserve"> </w:t>
      </w:r>
      <w:r>
        <w:rPr>
          <w:rFonts w:cs="Arial"/>
        </w:rPr>
        <w:t>2014 Consultation Paper and to 2016 Call for Submissions.</w:t>
      </w:r>
      <w:r w:rsidRPr="008E139F">
        <w:rPr>
          <w:rFonts w:cs="Arial"/>
          <w:vertAlign w:val="superscript"/>
        </w:rPr>
        <w:footnoteReference w:id="2"/>
      </w:r>
      <w:r>
        <w:rPr>
          <w:rFonts w:cs="Arial"/>
        </w:rPr>
        <w:t xml:space="preserve"> A summary is provided at </w:t>
      </w:r>
      <w:r w:rsidRPr="00E45E55">
        <w:rPr>
          <w:rFonts w:cs="Arial"/>
        </w:rPr>
        <w:t xml:space="preserve">Supporting Document 1 and a detailed overview of the views of all submitters </w:t>
      </w:r>
      <w:r>
        <w:rPr>
          <w:rFonts w:cs="Arial"/>
        </w:rPr>
        <w:t>from the 2</w:t>
      </w:r>
      <w:r w:rsidRPr="000A1A75">
        <w:rPr>
          <w:rFonts w:cs="Arial"/>
          <w:vertAlign w:val="superscript"/>
        </w:rPr>
        <w:t>nd</w:t>
      </w:r>
      <w:r>
        <w:rPr>
          <w:rFonts w:cs="Arial"/>
        </w:rPr>
        <w:t xml:space="preserve"> Call for Submissions Report is </w:t>
      </w:r>
      <w:r w:rsidRPr="00E45E55">
        <w:rPr>
          <w:rFonts w:cs="Arial"/>
        </w:rPr>
        <w:t xml:space="preserve">in Supporting Document 2. </w:t>
      </w:r>
    </w:p>
    <w:p w14:paraId="3542FB11" w14:textId="77777777" w:rsidR="001D711A" w:rsidRDefault="001D711A" w:rsidP="001D711A">
      <w:pPr>
        <w:rPr>
          <w:rFonts w:cs="Arial"/>
        </w:rPr>
      </w:pPr>
    </w:p>
    <w:p w14:paraId="65A68AF9" w14:textId="0541C9FB" w:rsidR="001D711A" w:rsidRDefault="001D711A" w:rsidP="001D711A">
      <w:pPr>
        <w:rPr>
          <w:rFonts w:cs="Arial"/>
        </w:rPr>
      </w:pPr>
      <w:r>
        <w:rPr>
          <w:rFonts w:cs="Arial"/>
        </w:rPr>
        <w:t>During consultation, FSANZ put specific questions to stakeholders to better understand issues relating to CMPF, including</w:t>
      </w:r>
      <w:r w:rsidRPr="004A37C6">
        <w:rPr>
          <w:rFonts w:cs="Arial"/>
        </w:rPr>
        <w:t xml:space="preserve"> the range of measures used by different industry sectors to </w:t>
      </w:r>
      <w:r>
        <w:rPr>
          <w:rFonts w:cs="Arial"/>
        </w:rPr>
        <w:t xml:space="preserve">control CMPF and the effects of various risk management options on stakeholders.  </w:t>
      </w:r>
    </w:p>
    <w:p w14:paraId="412E5D74" w14:textId="77777777" w:rsidR="001D711A" w:rsidRDefault="001D711A" w:rsidP="001D711A">
      <w:pPr>
        <w:rPr>
          <w:rFonts w:cs="Arial"/>
        </w:rPr>
      </w:pPr>
    </w:p>
    <w:p w14:paraId="2AC413AB" w14:textId="77777777" w:rsidR="001D711A" w:rsidRDefault="001D711A" w:rsidP="001D711A">
      <w:pPr>
        <w:rPr>
          <w:rFonts w:cs="Arial"/>
        </w:rPr>
      </w:pPr>
      <w:r>
        <w:rPr>
          <w:rFonts w:cs="Arial"/>
        </w:rPr>
        <w:t xml:space="preserve">FSANZ concluded that a prescriptive approach in Australia and New Zealand to manage CMPF was unnecessary and most submitters supported a graduated approach. </w:t>
      </w:r>
    </w:p>
    <w:p w14:paraId="3F334982" w14:textId="77777777" w:rsidR="001D711A" w:rsidRDefault="001D711A" w:rsidP="001D711A">
      <w:pPr>
        <w:rPr>
          <w:rFonts w:cs="Arial"/>
        </w:rPr>
      </w:pPr>
    </w:p>
    <w:p w14:paraId="2D97D785" w14:textId="77777777" w:rsidR="001D711A" w:rsidRDefault="001D711A" w:rsidP="001D711A">
      <w:pPr>
        <w:rPr>
          <w:rFonts w:cs="Arial"/>
        </w:rPr>
      </w:pPr>
      <w:r>
        <w:rPr>
          <w:rFonts w:cs="Arial"/>
        </w:rPr>
        <w:t xml:space="preserve">The public consultations provided </w:t>
      </w:r>
      <w:r w:rsidRPr="007566BA">
        <w:rPr>
          <w:rFonts w:cs="Arial"/>
        </w:rPr>
        <w:t>insight into industry areas that have gaps in the awareness of control measures for CMPF</w:t>
      </w:r>
      <w:r>
        <w:rPr>
          <w:rFonts w:cs="Arial"/>
        </w:rPr>
        <w:t>, particularly in</w:t>
      </w:r>
      <w:r w:rsidRPr="00B20164">
        <w:rPr>
          <w:rFonts w:cs="Arial"/>
          <w:lang w:val="en-AU"/>
        </w:rPr>
        <w:t xml:space="preserve"> SMEs</w:t>
      </w:r>
      <w:r>
        <w:rPr>
          <w:rFonts w:cs="Arial"/>
          <w:lang w:val="en-AU"/>
        </w:rPr>
        <w:t xml:space="preserve">. This was also corroborated by submissions to the November 2014 </w:t>
      </w:r>
      <w:hyperlink r:id="rId24" w:history="1">
        <w:r w:rsidRPr="003215E8">
          <w:rPr>
            <w:rStyle w:val="Hyperlink"/>
            <w:rFonts w:cs="Arial"/>
            <w:lang w:val="en-AU"/>
          </w:rPr>
          <w:t>consultation paper</w:t>
        </w:r>
      </w:hyperlink>
      <w:r w:rsidRPr="00B20164">
        <w:rPr>
          <w:rFonts w:cs="Arial"/>
        </w:rPr>
        <w:t xml:space="preserve">. </w:t>
      </w:r>
    </w:p>
    <w:p w14:paraId="3533D43F" w14:textId="77777777" w:rsidR="001D711A" w:rsidRDefault="001D711A" w:rsidP="001D711A">
      <w:pPr>
        <w:contextualSpacing/>
        <w:rPr>
          <w:rFonts w:cs="Arial"/>
        </w:rPr>
      </w:pPr>
    </w:p>
    <w:p w14:paraId="206240F1" w14:textId="77777777" w:rsidR="001D711A" w:rsidRDefault="001D711A" w:rsidP="001D711A">
      <w:pPr>
        <w:rPr>
          <w:rFonts w:cs="Arial"/>
        </w:rPr>
      </w:pPr>
      <w:r w:rsidRPr="00FE252D">
        <w:rPr>
          <w:rFonts w:cs="Arial"/>
        </w:rPr>
        <w:t xml:space="preserve">To help focus engagement with SMEs, a targeted survey for SMEs was </w:t>
      </w:r>
      <w:r>
        <w:rPr>
          <w:rFonts w:cs="Arial"/>
        </w:rPr>
        <w:t xml:space="preserve">prepared.  Businesses were </w:t>
      </w:r>
      <w:r w:rsidRPr="00FE252D">
        <w:rPr>
          <w:rFonts w:cs="Arial"/>
        </w:rPr>
        <w:t xml:space="preserve">approached through a range of means (peak bodies, government contacts and Board members).  </w:t>
      </w:r>
    </w:p>
    <w:p w14:paraId="74621F09" w14:textId="77777777" w:rsidR="001D711A" w:rsidRDefault="001D711A" w:rsidP="001D711A">
      <w:pPr>
        <w:rPr>
          <w:rFonts w:cs="Arial"/>
        </w:rPr>
      </w:pPr>
    </w:p>
    <w:p w14:paraId="734D9307" w14:textId="334D7DDD" w:rsidR="001D711A" w:rsidRDefault="001D711A" w:rsidP="001D711A">
      <w:pPr>
        <w:rPr>
          <w:rFonts w:cs="Arial"/>
        </w:rPr>
      </w:pPr>
      <w:r w:rsidRPr="00FE252D">
        <w:rPr>
          <w:rFonts w:cs="Arial"/>
        </w:rPr>
        <w:t>The overall</w:t>
      </w:r>
      <w:r>
        <w:rPr>
          <w:rFonts w:cs="Arial"/>
        </w:rPr>
        <w:t xml:space="preserve"> conclusion</w:t>
      </w:r>
      <w:r w:rsidRPr="00FE252D">
        <w:rPr>
          <w:rFonts w:cs="Arial"/>
        </w:rPr>
        <w:t xml:space="preserve"> </w:t>
      </w:r>
      <w:r>
        <w:rPr>
          <w:rFonts w:cs="Arial"/>
        </w:rPr>
        <w:t>obt</w:t>
      </w:r>
      <w:r w:rsidRPr="00FE252D">
        <w:rPr>
          <w:rFonts w:cs="Arial"/>
        </w:rPr>
        <w:t>ai</w:t>
      </w:r>
      <w:r>
        <w:rPr>
          <w:rFonts w:cs="Arial"/>
        </w:rPr>
        <w:t xml:space="preserve">ned from these consultations was </w:t>
      </w:r>
      <w:r w:rsidRPr="00FE252D">
        <w:rPr>
          <w:rFonts w:cs="Arial"/>
        </w:rPr>
        <w:t xml:space="preserve">that there is a broad </w:t>
      </w:r>
      <w:r w:rsidR="00BD35F8">
        <w:rPr>
          <w:rFonts w:cs="Arial"/>
        </w:rPr>
        <w:t>range</w:t>
      </w:r>
      <w:r w:rsidR="00BD35F8" w:rsidRPr="00FE252D">
        <w:rPr>
          <w:rFonts w:cs="Arial"/>
        </w:rPr>
        <w:t xml:space="preserve"> </w:t>
      </w:r>
      <w:r w:rsidRPr="00FE252D">
        <w:rPr>
          <w:rFonts w:cs="Arial"/>
        </w:rPr>
        <w:t>of kn</w:t>
      </w:r>
      <w:r>
        <w:rPr>
          <w:rFonts w:cs="Arial"/>
        </w:rPr>
        <w:t>owledge amongst SMEs about CMPF and most</w:t>
      </w:r>
      <w:r w:rsidRPr="00FE252D">
        <w:rPr>
          <w:rFonts w:cs="Arial"/>
        </w:rPr>
        <w:t xml:space="preserve"> companies’ surveyed show some level of awareness and have basic control measures in place (e.g. HACCP).  </w:t>
      </w:r>
    </w:p>
    <w:p w14:paraId="020E7001" w14:textId="77777777" w:rsidR="001D711A" w:rsidRDefault="001D711A" w:rsidP="001D711A">
      <w:pPr>
        <w:rPr>
          <w:rFonts w:cs="Arial"/>
        </w:rPr>
      </w:pPr>
    </w:p>
    <w:p w14:paraId="7EEB7E99" w14:textId="77777777" w:rsidR="001D711A" w:rsidRDefault="001D711A" w:rsidP="001D711A">
      <w:pPr>
        <w:rPr>
          <w:rFonts w:cs="Arial"/>
        </w:rPr>
      </w:pPr>
      <w:r w:rsidRPr="00FE252D">
        <w:rPr>
          <w:rFonts w:cs="Arial"/>
        </w:rPr>
        <w:t>Most businesses stated the importance of (and reliance upon) supply chain assurance and having t</w:t>
      </w:r>
      <w:r>
        <w:rPr>
          <w:rFonts w:cs="Arial"/>
        </w:rPr>
        <w:t xml:space="preserve">rusted suppliers but </w:t>
      </w:r>
      <w:r w:rsidRPr="00FE252D">
        <w:rPr>
          <w:rFonts w:cs="Arial"/>
        </w:rPr>
        <w:t xml:space="preserve">most </w:t>
      </w:r>
      <w:r>
        <w:rPr>
          <w:rFonts w:cs="Arial"/>
        </w:rPr>
        <w:t xml:space="preserve">SMEs </w:t>
      </w:r>
      <w:r w:rsidRPr="00FE252D">
        <w:rPr>
          <w:rFonts w:cs="Arial"/>
        </w:rPr>
        <w:t>would appreciate more guidance on identifying risks from CMPF and determining how they can be managed.</w:t>
      </w:r>
      <w:r>
        <w:rPr>
          <w:rFonts w:cs="Arial"/>
        </w:rPr>
        <w:t xml:space="preserve"> </w:t>
      </w:r>
    </w:p>
    <w:p w14:paraId="2B64A22E" w14:textId="77777777" w:rsidR="001D711A" w:rsidRDefault="001D711A" w:rsidP="001D711A">
      <w:pPr>
        <w:rPr>
          <w:rFonts w:cs="Arial"/>
        </w:rPr>
      </w:pPr>
    </w:p>
    <w:p w14:paraId="4EAE8D03" w14:textId="77777777" w:rsidR="001D711A" w:rsidRPr="00555755" w:rsidRDefault="001D711A" w:rsidP="001D711A">
      <w:pPr>
        <w:rPr>
          <w:rFonts w:cs="Arial"/>
        </w:rPr>
      </w:pPr>
      <w:r w:rsidRPr="00555755">
        <w:rPr>
          <w:rFonts w:cs="Arial"/>
        </w:rPr>
        <w:t>FSANZ was encouraged to adhere to the principles of best practice regulation, and if any new regulations in Australia and New Zealand were introduced there had to be robust scientific evidence that a risk from CMPF existed, otherwise this would impose unnecessary costs for industry. There was a suggestion for FSANZ to consider a tiered approach based on risk which may involve combinations of regulatory and non-regulatory measures.</w:t>
      </w:r>
    </w:p>
    <w:p w14:paraId="19647ED0" w14:textId="77777777" w:rsidR="001D711A" w:rsidRPr="00555755" w:rsidRDefault="001D711A" w:rsidP="001D711A">
      <w:pPr>
        <w:rPr>
          <w:rFonts w:cs="Arial"/>
        </w:rPr>
      </w:pPr>
    </w:p>
    <w:p w14:paraId="5C587BF2" w14:textId="3766D138" w:rsidR="001D711A" w:rsidRDefault="001D711A" w:rsidP="001D711A">
      <w:pPr>
        <w:rPr>
          <w:rFonts w:cs="Arial"/>
        </w:rPr>
      </w:pPr>
      <w:r w:rsidRPr="00555755">
        <w:rPr>
          <w:rFonts w:cs="Arial"/>
        </w:rPr>
        <w:t xml:space="preserve">Consumers raised concerns with FSANZ that the current general requirements for food packaging to be safe may not be enough to safeguard consumers. They proposed that FSANZ should take a precautionary and a more prescriptive approach similar to the requirements in Europe and the US. </w:t>
      </w:r>
    </w:p>
    <w:p w14:paraId="4997E63A" w14:textId="77777777" w:rsidR="001D711A" w:rsidRDefault="001D711A" w:rsidP="001D711A">
      <w:pPr>
        <w:rPr>
          <w:rFonts w:cs="Arial"/>
        </w:rPr>
      </w:pPr>
    </w:p>
    <w:p w14:paraId="63682DD0" w14:textId="77777777" w:rsidR="001D711A" w:rsidRDefault="001D711A" w:rsidP="001D711A">
      <w:pPr>
        <w:rPr>
          <w:rFonts w:cs="Arial"/>
        </w:rPr>
      </w:pPr>
      <w:r w:rsidRPr="00555755">
        <w:rPr>
          <w:rFonts w:cs="Arial"/>
        </w:rPr>
        <w:t>Some submitters criticized FSANZ for narrowing the scope of the Proposal to exclude other packaging materials such as nanomaterials and smart packaging.</w:t>
      </w:r>
    </w:p>
    <w:p w14:paraId="2EB2703C" w14:textId="77777777" w:rsidR="001D711A" w:rsidRDefault="001D711A" w:rsidP="001D711A">
      <w:pPr>
        <w:rPr>
          <w:rFonts w:cs="Arial"/>
        </w:rPr>
      </w:pPr>
    </w:p>
    <w:p w14:paraId="0E888850" w14:textId="5A9ACB06" w:rsidR="001D711A" w:rsidRDefault="001D711A" w:rsidP="001D711A">
      <w:r>
        <w:t>T</w:t>
      </w:r>
      <w:r w:rsidR="00E8036C">
        <w:t>herefore, t</w:t>
      </w:r>
      <w:r>
        <w:t>aking into account the submissions and i</w:t>
      </w:r>
      <w:r w:rsidRPr="00B348B5">
        <w:t xml:space="preserve">n order for FSANZ to </w:t>
      </w:r>
      <w:r>
        <w:t>continue with Proposal P1034 the following work was progressed:</w:t>
      </w:r>
    </w:p>
    <w:p w14:paraId="26E228B9" w14:textId="77777777" w:rsidR="001D711A" w:rsidRDefault="001D711A" w:rsidP="001D711A"/>
    <w:p w14:paraId="4D411BDF" w14:textId="3247D296" w:rsidR="001D711A" w:rsidRDefault="001D711A" w:rsidP="001D711A">
      <w:pPr>
        <w:pStyle w:val="FSBullet1"/>
      </w:pPr>
      <w:r>
        <w:t>risk analysis work to identify any uncontrolled hazards and build on the evidence base following the 24</w:t>
      </w:r>
      <w:r w:rsidRPr="00E164A1">
        <w:rPr>
          <w:vertAlign w:val="superscript"/>
        </w:rPr>
        <w:t>th</w:t>
      </w:r>
      <w:r>
        <w:t xml:space="preserve"> ATDS outcomes and undertake a dedicated packaging follow up chemical survey (the phthalate survey) (see 2.</w:t>
      </w:r>
      <w:r w:rsidR="00FA522F">
        <w:t>2</w:t>
      </w:r>
      <w:r>
        <w:t>)</w:t>
      </w:r>
    </w:p>
    <w:p w14:paraId="55D70B9C" w14:textId="06F4993D" w:rsidR="001D711A" w:rsidRDefault="001D711A" w:rsidP="001D711A">
      <w:pPr>
        <w:pStyle w:val="FSBullet1"/>
      </w:pPr>
      <w:r>
        <w:t>industry follow-up</w:t>
      </w:r>
      <w:r w:rsidR="00C939DF">
        <w:t xml:space="preserve"> and consultations with</w:t>
      </w:r>
      <w:r>
        <w:t xml:space="preserve"> SMEs (food service sector, discount shops, quick service restaurants)</w:t>
      </w:r>
    </w:p>
    <w:p w14:paraId="35E53218" w14:textId="77777777" w:rsidR="001D711A" w:rsidRDefault="001D711A" w:rsidP="001D711A">
      <w:pPr>
        <w:pStyle w:val="FSBullet1"/>
      </w:pPr>
      <w:r>
        <w:t xml:space="preserve">consult with jurisdictions through the Implementation Subcommittee for Food Regulation (ISFR) to discuss their views on risks from CMPF and possible practical risk management options which could be adopted through the Food Acts </w:t>
      </w:r>
    </w:p>
    <w:p w14:paraId="44D3BFD2" w14:textId="442037E5" w:rsidR="001D711A" w:rsidRDefault="001D711A" w:rsidP="001D711A">
      <w:pPr>
        <w:pStyle w:val="FSBullet1"/>
      </w:pPr>
      <w:r>
        <w:t>consider appropriate risk management options (see</w:t>
      </w:r>
      <w:r w:rsidR="00FA522F">
        <w:t xml:space="preserve"> 2.3</w:t>
      </w:r>
      <w:r>
        <w:t xml:space="preserve">) </w:t>
      </w:r>
      <w:r w:rsidR="00C939DF">
        <w:t xml:space="preserve">by taking account of </w:t>
      </w:r>
      <w:r>
        <w:t>the risk assessment</w:t>
      </w:r>
      <w:r w:rsidR="00C939DF">
        <w:t xml:space="preserve"> findings together with</w:t>
      </w:r>
      <w:r>
        <w:t xml:space="preserve"> consultations and discussions with stakeholders. </w:t>
      </w:r>
    </w:p>
    <w:p w14:paraId="65739904" w14:textId="0D3A7163" w:rsidR="00A670A7" w:rsidRPr="00932F14" w:rsidRDefault="00A670A7" w:rsidP="00A670A7">
      <w:pPr>
        <w:pStyle w:val="Heading2"/>
      </w:pPr>
      <w:bookmarkStart w:id="59" w:name="_Toc493774525"/>
      <w:r>
        <w:t>2</w:t>
      </w:r>
      <w:r w:rsidR="001D711A">
        <w:t>.2</w:t>
      </w:r>
      <w:r>
        <w:tab/>
      </w:r>
      <w:r w:rsidRPr="00932F14">
        <w:t xml:space="preserve">Risk </w:t>
      </w:r>
      <w:r>
        <w:t>a</w:t>
      </w:r>
      <w:r w:rsidRPr="00932F14">
        <w:t>ssessment</w:t>
      </w:r>
      <w:bookmarkEnd w:id="56"/>
      <w:bookmarkEnd w:id="59"/>
      <w:r w:rsidRPr="00932F14">
        <w:t xml:space="preserve"> </w:t>
      </w:r>
    </w:p>
    <w:p w14:paraId="6C0D53BC" w14:textId="621B239A" w:rsidR="00CB1F0A" w:rsidRDefault="00CB1F0A" w:rsidP="00CB1F0A">
      <w:pPr>
        <w:pStyle w:val="Heading3"/>
        <w:rPr>
          <w:color w:val="00B050"/>
          <w:u w:val="single"/>
          <w:lang w:val="en-AU"/>
        </w:rPr>
      </w:pPr>
      <w:bookmarkStart w:id="60" w:name="_Toc493774526"/>
      <w:r>
        <w:t>2.</w:t>
      </w:r>
      <w:r w:rsidR="001D711A">
        <w:t>2</w:t>
      </w:r>
      <w:r>
        <w:t>.1</w:t>
      </w:r>
      <w:r>
        <w:tab/>
      </w:r>
      <w:r w:rsidRPr="00CB1F0A">
        <w:t>Overview</w:t>
      </w:r>
      <w:bookmarkEnd w:id="60"/>
    </w:p>
    <w:p w14:paraId="34CA90B8" w14:textId="197465B1" w:rsidR="00053D06" w:rsidRPr="00C04ABC" w:rsidRDefault="00BD35F8" w:rsidP="00053D06">
      <w:r>
        <w:t>To</w:t>
      </w:r>
      <w:r w:rsidR="00053D06" w:rsidRPr="00C04ABC">
        <w:t xml:space="preserve"> gain an understanding of the overall risk posed by CMPF, FSANZ investigated information on the hazard characteristics of chemicals used </w:t>
      </w:r>
      <w:r w:rsidR="009A1951">
        <w:t>to produce</w:t>
      </w:r>
      <w:r w:rsidR="00053D06" w:rsidRPr="00C04ABC">
        <w:t xml:space="preserve"> food packaging and estimated dietary exposure to these chemicals due to migration into food. A wide range of information sources was used for this work, in particular USFDA and EFSA databases and publications, and data from analytical surveys of</w:t>
      </w:r>
      <w:r w:rsidR="00E00939">
        <w:t xml:space="preserve"> packaging chemicals in Australian</w:t>
      </w:r>
      <w:r w:rsidR="00053D06" w:rsidRPr="00C04ABC">
        <w:t xml:space="preserve"> foods.</w:t>
      </w:r>
    </w:p>
    <w:p w14:paraId="5A1EB557" w14:textId="77777777" w:rsidR="00053D06" w:rsidRPr="00C04ABC" w:rsidRDefault="00053D06" w:rsidP="00053D06">
      <w:pPr>
        <w:rPr>
          <w:lang w:val="en-AU"/>
        </w:rPr>
      </w:pPr>
    </w:p>
    <w:p w14:paraId="7E951DA1" w14:textId="4FF4B34F" w:rsidR="00E51758" w:rsidRDefault="000E6A8D" w:rsidP="00053D06">
      <w:pPr>
        <w:rPr>
          <w:szCs w:val="22"/>
        </w:rPr>
      </w:pPr>
      <w:r>
        <w:rPr>
          <w:lang w:val="en-AU"/>
        </w:rPr>
        <w:t>FSANZ’s scientific assessment</w:t>
      </w:r>
      <w:r w:rsidR="00925AAA">
        <w:rPr>
          <w:lang w:val="en-AU"/>
        </w:rPr>
        <w:t xml:space="preserve"> indicated that most chemicals used to produce food packaging</w:t>
      </w:r>
      <w:r w:rsidR="00E00939">
        <w:rPr>
          <w:lang w:val="en-AU"/>
        </w:rPr>
        <w:t xml:space="preserve"> are unlikely to pose a public health concern</w:t>
      </w:r>
      <w:r w:rsidR="00925AAA">
        <w:rPr>
          <w:lang w:val="en-AU"/>
        </w:rPr>
        <w:t xml:space="preserve">. </w:t>
      </w:r>
      <w:r w:rsidR="00925AAA">
        <w:rPr>
          <w:szCs w:val="22"/>
        </w:rPr>
        <w:t xml:space="preserve">This is predominantly due to the low dietary exposure expected for the majority of </w:t>
      </w:r>
      <w:r w:rsidR="00FE0409">
        <w:rPr>
          <w:szCs w:val="22"/>
        </w:rPr>
        <w:t xml:space="preserve">these </w:t>
      </w:r>
      <w:r w:rsidR="00925AAA">
        <w:rPr>
          <w:szCs w:val="22"/>
        </w:rPr>
        <w:t>chemicals</w:t>
      </w:r>
      <w:r w:rsidR="003B5594">
        <w:rPr>
          <w:szCs w:val="22"/>
        </w:rPr>
        <w:t xml:space="preserve"> </w:t>
      </w:r>
      <w:r w:rsidR="00FC32E3">
        <w:rPr>
          <w:szCs w:val="22"/>
        </w:rPr>
        <w:t>(see June 2016 Call for Submissions, Supporting Document 3</w:t>
      </w:r>
      <w:r w:rsidR="00FC32E3">
        <w:rPr>
          <w:rStyle w:val="FootnoteReference"/>
          <w:szCs w:val="22"/>
        </w:rPr>
        <w:footnoteReference w:id="3"/>
      </w:r>
      <w:r w:rsidR="00FC32E3">
        <w:rPr>
          <w:szCs w:val="22"/>
        </w:rPr>
        <w:t>).</w:t>
      </w:r>
      <w:r w:rsidR="00E00939">
        <w:rPr>
          <w:szCs w:val="22"/>
        </w:rPr>
        <w:t xml:space="preserve"> </w:t>
      </w:r>
    </w:p>
    <w:p w14:paraId="46311CCB" w14:textId="4B3BF89B" w:rsidR="00FE0409" w:rsidRDefault="00FE0409" w:rsidP="00053D06">
      <w:pPr>
        <w:rPr>
          <w:szCs w:val="22"/>
        </w:rPr>
      </w:pPr>
    </w:p>
    <w:p w14:paraId="082E5E91" w14:textId="51DDC900" w:rsidR="00E649C6" w:rsidRDefault="00FE0409" w:rsidP="00E649C6">
      <w:pPr>
        <w:rPr>
          <w:szCs w:val="22"/>
        </w:rPr>
      </w:pPr>
      <w:r>
        <w:rPr>
          <w:szCs w:val="22"/>
        </w:rPr>
        <w:t xml:space="preserve">A summary of </w:t>
      </w:r>
      <w:r w:rsidR="00492F1F">
        <w:rPr>
          <w:szCs w:val="22"/>
        </w:rPr>
        <w:t>FSANZ’s initial</w:t>
      </w:r>
      <w:r>
        <w:rPr>
          <w:szCs w:val="22"/>
        </w:rPr>
        <w:t xml:space="preserve"> risk </w:t>
      </w:r>
      <w:r w:rsidR="00492F1F">
        <w:rPr>
          <w:szCs w:val="22"/>
        </w:rPr>
        <w:t>assessment,</w:t>
      </w:r>
      <w:r>
        <w:rPr>
          <w:szCs w:val="22"/>
        </w:rPr>
        <w:t xml:space="preserve"> </w:t>
      </w:r>
      <w:r w:rsidR="00492F1F">
        <w:rPr>
          <w:szCs w:val="22"/>
        </w:rPr>
        <w:t>detailed</w:t>
      </w:r>
      <w:r>
        <w:rPr>
          <w:szCs w:val="22"/>
        </w:rPr>
        <w:t xml:space="preserve"> in the June 2016 Call for Submissions</w:t>
      </w:r>
      <w:r w:rsidR="00492F1F">
        <w:rPr>
          <w:szCs w:val="22"/>
        </w:rPr>
        <w:t>,</w:t>
      </w:r>
      <w:r>
        <w:rPr>
          <w:szCs w:val="22"/>
        </w:rPr>
        <w:t xml:space="preserve"> is provided in section 2.</w:t>
      </w:r>
      <w:r w:rsidR="007D41BD">
        <w:rPr>
          <w:szCs w:val="22"/>
        </w:rPr>
        <w:t>2</w:t>
      </w:r>
      <w:r>
        <w:rPr>
          <w:szCs w:val="22"/>
        </w:rPr>
        <w:t xml:space="preserve">.2. </w:t>
      </w:r>
    </w:p>
    <w:p w14:paraId="7C27A2F7" w14:textId="77777777" w:rsidR="00E649C6" w:rsidRDefault="00E649C6" w:rsidP="00E649C6">
      <w:pPr>
        <w:rPr>
          <w:szCs w:val="22"/>
        </w:rPr>
      </w:pPr>
    </w:p>
    <w:p w14:paraId="50378129" w14:textId="26F2DF0D" w:rsidR="00D231D0" w:rsidRDefault="00E14E08" w:rsidP="00F420B3">
      <w:pPr>
        <w:rPr>
          <w:szCs w:val="22"/>
        </w:rPr>
      </w:pPr>
      <w:r>
        <w:rPr>
          <w:szCs w:val="22"/>
        </w:rPr>
        <w:t xml:space="preserve">Since publication </w:t>
      </w:r>
      <w:r w:rsidR="00E649C6">
        <w:rPr>
          <w:szCs w:val="22"/>
        </w:rPr>
        <w:t xml:space="preserve">of the </w:t>
      </w:r>
      <w:r>
        <w:rPr>
          <w:szCs w:val="22"/>
        </w:rPr>
        <w:t xml:space="preserve">2016 </w:t>
      </w:r>
      <w:r w:rsidR="00E649C6">
        <w:rPr>
          <w:szCs w:val="22"/>
        </w:rPr>
        <w:t xml:space="preserve">Call for Submissions the findings of three additional surveys have </w:t>
      </w:r>
      <w:r w:rsidR="006F2971">
        <w:rPr>
          <w:szCs w:val="22"/>
        </w:rPr>
        <w:t xml:space="preserve">been finalised and </w:t>
      </w:r>
      <w:r w:rsidR="00E649C6">
        <w:rPr>
          <w:szCs w:val="22"/>
        </w:rPr>
        <w:t>become available. These are</w:t>
      </w:r>
      <w:r w:rsidR="00D231D0">
        <w:rPr>
          <w:szCs w:val="22"/>
        </w:rPr>
        <w:t>:</w:t>
      </w:r>
    </w:p>
    <w:p w14:paraId="7791AD18" w14:textId="77777777" w:rsidR="00D231D0" w:rsidRDefault="00D231D0" w:rsidP="00F420B3">
      <w:pPr>
        <w:rPr>
          <w:szCs w:val="22"/>
        </w:rPr>
      </w:pPr>
    </w:p>
    <w:p w14:paraId="2B87A506" w14:textId="321CCA0B" w:rsidR="00D231D0" w:rsidRPr="00D231D0" w:rsidRDefault="00E649C6" w:rsidP="00BA50A8">
      <w:pPr>
        <w:pStyle w:val="FSBullet1"/>
      </w:pPr>
      <w:r w:rsidRPr="00D231D0">
        <w:t>a FSANZ survey of plasticisers in foods</w:t>
      </w:r>
    </w:p>
    <w:p w14:paraId="6517B2EB" w14:textId="77777777" w:rsidR="00D231D0" w:rsidRDefault="00D231D0" w:rsidP="00137C6A"/>
    <w:p w14:paraId="7CAC83F6" w14:textId="157FD433" w:rsidR="00D231D0" w:rsidRPr="00D231D0" w:rsidRDefault="00E649C6" w:rsidP="00BA50A8">
      <w:pPr>
        <w:pStyle w:val="FSBullet1"/>
        <w:rPr>
          <w:rFonts w:eastAsia="Calibri"/>
        </w:rPr>
      </w:pPr>
      <w:r w:rsidRPr="00D231D0">
        <w:t xml:space="preserve">a FSANZ </w:t>
      </w:r>
      <w:r w:rsidR="00F420B3" w:rsidRPr="00D231D0">
        <w:rPr>
          <w:rFonts w:eastAsia="Calibri"/>
        </w:rPr>
        <w:t>investigation into the migration of mineral oil hydrocarbons (MOH) from paperboard packaging into foods</w:t>
      </w:r>
    </w:p>
    <w:p w14:paraId="61688913" w14:textId="77777777" w:rsidR="00D231D0" w:rsidRDefault="00D231D0" w:rsidP="00137C6A">
      <w:pPr>
        <w:rPr>
          <w:rFonts w:eastAsia="Calibri"/>
        </w:rPr>
      </w:pPr>
    </w:p>
    <w:p w14:paraId="19AC7844" w14:textId="679293CB" w:rsidR="00D231D0" w:rsidRPr="006B3CBE" w:rsidRDefault="00F420B3" w:rsidP="00BA50A8">
      <w:pPr>
        <w:pStyle w:val="FSBullet1"/>
      </w:pPr>
      <w:r w:rsidRPr="00D231D0">
        <w:rPr>
          <w:rFonts w:eastAsia="Calibri"/>
        </w:rPr>
        <w:t>a survey of packaging chemicals in New Zealand foods</w:t>
      </w:r>
      <w:r w:rsidR="00E649C6" w:rsidRPr="00D231D0">
        <w:rPr>
          <w:rFonts w:eastAsia="Calibri"/>
        </w:rPr>
        <w:t xml:space="preserve"> by the New Zealand Ministry for Primary Industries</w:t>
      </w:r>
      <w:r w:rsidRPr="00D231D0">
        <w:rPr>
          <w:rFonts w:eastAsia="Calibri"/>
        </w:rPr>
        <w:t xml:space="preserve">. </w:t>
      </w:r>
    </w:p>
    <w:p w14:paraId="5DABFD78" w14:textId="77777777" w:rsidR="00D231D0" w:rsidRPr="00D231D0" w:rsidRDefault="00D231D0" w:rsidP="006B3CBE">
      <w:pPr>
        <w:pStyle w:val="ListParagraph"/>
        <w:rPr>
          <w:rFonts w:eastAsia="Calibri"/>
        </w:rPr>
      </w:pPr>
    </w:p>
    <w:p w14:paraId="56BD2242" w14:textId="319B9F35" w:rsidR="00FE0409" w:rsidRPr="00D231D0" w:rsidRDefault="00F420B3" w:rsidP="00D231D0">
      <w:pPr>
        <w:rPr>
          <w:szCs w:val="22"/>
        </w:rPr>
      </w:pPr>
      <w:r w:rsidRPr="00D231D0">
        <w:rPr>
          <w:rFonts w:eastAsia="Calibri"/>
        </w:rPr>
        <w:t>The results of these three additional surveys have contributed to an updated risk assessment for this Proposal.</w:t>
      </w:r>
      <w:r w:rsidR="00E649C6" w:rsidRPr="00D231D0">
        <w:rPr>
          <w:rFonts w:eastAsia="Calibri"/>
        </w:rPr>
        <w:t xml:space="preserve"> </w:t>
      </w:r>
      <w:r w:rsidR="00E649C6" w:rsidRPr="00D231D0">
        <w:rPr>
          <w:szCs w:val="22"/>
        </w:rPr>
        <w:t xml:space="preserve">This </w:t>
      </w:r>
      <w:r w:rsidR="00FE0409" w:rsidRPr="00D231D0">
        <w:rPr>
          <w:szCs w:val="22"/>
        </w:rPr>
        <w:t>is summarised in section 2.</w:t>
      </w:r>
      <w:r w:rsidR="007D41BD">
        <w:rPr>
          <w:szCs w:val="22"/>
        </w:rPr>
        <w:t>2</w:t>
      </w:r>
      <w:r w:rsidR="00FE0409" w:rsidRPr="00D231D0">
        <w:rPr>
          <w:szCs w:val="22"/>
        </w:rPr>
        <w:t xml:space="preserve">.3. </w:t>
      </w:r>
    </w:p>
    <w:p w14:paraId="3F473F91" w14:textId="0325B6C2" w:rsidR="00E51758" w:rsidRPr="00E51758" w:rsidRDefault="00E51758" w:rsidP="00E51758">
      <w:pPr>
        <w:pStyle w:val="Heading3"/>
      </w:pPr>
      <w:bookmarkStart w:id="61" w:name="_Toc493774527"/>
      <w:r w:rsidRPr="00E51758">
        <w:t>2.</w:t>
      </w:r>
      <w:r w:rsidR="001D711A">
        <w:t>2</w:t>
      </w:r>
      <w:r w:rsidRPr="00E51758">
        <w:t>.2</w:t>
      </w:r>
      <w:r w:rsidR="00C77982">
        <w:tab/>
      </w:r>
      <w:r w:rsidRPr="00E51758">
        <w:t>Initial risk assessment</w:t>
      </w:r>
      <w:bookmarkEnd w:id="61"/>
    </w:p>
    <w:p w14:paraId="24F23EB6" w14:textId="5CCE8281" w:rsidR="00E51758" w:rsidRPr="00FF39A4" w:rsidRDefault="006A21A8" w:rsidP="00E51758">
      <w:pPr>
        <w:spacing w:after="120"/>
        <w:rPr>
          <w:rFonts w:eastAsia="Calibri"/>
        </w:rPr>
      </w:pPr>
      <w:r>
        <w:rPr>
          <w:rFonts w:eastAsia="Calibri"/>
        </w:rPr>
        <w:t>To</w:t>
      </w:r>
      <w:r w:rsidR="00E51758" w:rsidRPr="00FF39A4">
        <w:rPr>
          <w:rFonts w:eastAsia="Calibri"/>
        </w:rPr>
        <w:t xml:space="preserve"> gain an understanding of the risk posed by chemical migration from packaging into food, FSANZ </w:t>
      </w:r>
      <w:r w:rsidR="00E51758">
        <w:rPr>
          <w:rFonts w:eastAsia="Calibri"/>
        </w:rPr>
        <w:t>evaluated</w:t>
      </w:r>
      <w:r w:rsidR="00E51758" w:rsidRPr="00FF39A4">
        <w:rPr>
          <w:rFonts w:eastAsia="Calibri"/>
        </w:rPr>
        <w:t xml:space="preserve"> information on the hazard characteristics of chemicals used </w:t>
      </w:r>
      <w:r w:rsidR="00E14E08">
        <w:rPr>
          <w:rFonts w:eastAsia="Calibri"/>
        </w:rPr>
        <w:t>to</w:t>
      </w:r>
      <w:r w:rsidR="00E14E08" w:rsidRPr="00FF39A4">
        <w:rPr>
          <w:rFonts w:eastAsia="Calibri"/>
        </w:rPr>
        <w:t xml:space="preserve"> </w:t>
      </w:r>
      <w:r w:rsidR="00E14E08">
        <w:rPr>
          <w:rFonts w:eastAsia="Calibri"/>
        </w:rPr>
        <w:t xml:space="preserve">produce </w:t>
      </w:r>
      <w:r w:rsidR="00E51758" w:rsidRPr="00FF39A4">
        <w:rPr>
          <w:rFonts w:eastAsia="Calibri"/>
        </w:rPr>
        <w:t xml:space="preserve">food packaging, as well as estimated dietary exposure to these chemicals due to migration into food. Use of the threshold of toxicological concern (TTC) concept has been valuable for this work, as well as a number of analytical surveys. </w:t>
      </w:r>
    </w:p>
    <w:p w14:paraId="36D10F30" w14:textId="613AEC4A" w:rsidR="00AD78D5" w:rsidRDefault="00AD78D5" w:rsidP="00AD78D5">
      <w:pPr>
        <w:spacing w:after="120"/>
        <w:rPr>
          <w:rFonts w:eastAsia="Calibri"/>
        </w:rPr>
      </w:pPr>
      <w:r w:rsidRPr="00FF39A4">
        <w:rPr>
          <w:rFonts w:eastAsia="Calibri"/>
        </w:rPr>
        <w:t xml:space="preserve">The TTC approach </w:t>
      </w:r>
      <w:r>
        <w:rPr>
          <w:rFonts w:eastAsia="Calibri"/>
        </w:rPr>
        <w:t>allows</w:t>
      </w:r>
      <w:r w:rsidRPr="00FF39A4">
        <w:rPr>
          <w:rFonts w:eastAsia="Calibri"/>
        </w:rPr>
        <w:t xml:space="preserve"> chemicals to </w:t>
      </w:r>
      <w:r>
        <w:rPr>
          <w:rFonts w:eastAsia="Calibri"/>
        </w:rPr>
        <w:t xml:space="preserve">be </w:t>
      </w:r>
      <w:r w:rsidRPr="00FF39A4">
        <w:rPr>
          <w:rFonts w:eastAsia="Calibri"/>
        </w:rPr>
        <w:t>categorise</w:t>
      </w:r>
      <w:r>
        <w:rPr>
          <w:rFonts w:eastAsia="Calibri"/>
        </w:rPr>
        <w:t>d</w:t>
      </w:r>
      <w:r w:rsidRPr="00FF39A4">
        <w:rPr>
          <w:rFonts w:eastAsia="Calibri"/>
        </w:rPr>
        <w:t xml:space="preserve"> into various threshold levels of safe expected exposure, depend</w:t>
      </w:r>
      <w:r>
        <w:rPr>
          <w:rFonts w:eastAsia="Calibri"/>
        </w:rPr>
        <w:t>ent</w:t>
      </w:r>
      <w:r w:rsidRPr="00FF39A4">
        <w:rPr>
          <w:rFonts w:eastAsia="Calibri"/>
        </w:rPr>
        <w:t xml:space="preserve"> </w:t>
      </w:r>
      <w:r>
        <w:rPr>
          <w:rFonts w:eastAsia="Calibri"/>
        </w:rPr>
        <w:t xml:space="preserve">upon </w:t>
      </w:r>
      <w:r w:rsidRPr="00FF39A4">
        <w:rPr>
          <w:rFonts w:eastAsia="Calibri"/>
        </w:rPr>
        <w:t xml:space="preserve">structure. </w:t>
      </w:r>
      <w:r>
        <w:rPr>
          <w:rFonts w:eastAsia="Calibri"/>
        </w:rPr>
        <w:t>The TTC approach was used as a means of rapidly assessing</w:t>
      </w:r>
      <w:r w:rsidR="00C4620E">
        <w:rPr>
          <w:rFonts w:eastAsia="Calibri"/>
        </w:rPr>
        <w:t xml:space="preserve"> risks associated with</w:t>
      </w:r>
      <w:r>
        <w:rPr>
          <w:rFonts w:eastAsia="Calibri"/>
        </w:rPr>
        <w:t xml:space="preserve"> estimated dietary exposures to over 1300 food contact </w:t>
      </w:r>
      <w:r w:rsidRPr="00DC6271">
        <w:rPr>
          <w:rFonts w:eastAsia="Calibri"/>
        </w:rPr>
        <w:t>substances</w:t>
      </w:r>
      <w:r>
        <w:rPr>
          <w:rFonts w:eastAsia="Calibri"/>
        </w:rPr>
        <w:t xml:space="preserve"> included in a USFDA database, without needing to first source specific toxicity data for each of these substances. </w:t>
      </w:r>
    </w:p>
    <w:p w14:paraId="219BB66E" w14:textId="562C5F86" w:rsidR="007C714E" w:rsidRDefault="00AD78D5" w:rsidP="00E51758">
      <w:pPr>
        <w:spacing w:after="120"/>
        <w:rPr>
          <w:rFonts w:eastAsia="Calibri"/>
          <w:lang w:eastAsia="en-AU"/>
        </w:rPr>
      </w:pPr>
      <w:r>
        <w:rPr>
          <w:rFonts w:eastAsia="Calibri"/>
        </w:rPr>
        <w:t>E</w:t>
      </w:r>
      <w:r w:rsidRPr="00DC6271">
        <w:rPr>
          <w:rFonts w:eastAsia="Calibri"/>
        </w:rPr>
        <w:t xml:space="preserve">stimated dietary exposures </w:t>
      </w:r>
      <w:r w:rsidR="00E51758" w:rsidRPr="00FF39A4">
        <w:rPr>
          <w:rFonts w:eastAsia="Calibri"/>
        </w:rPr>
        <w:t xml:space="preserve">for 86% of the substances </w:t>
      </w:r>
      <w:r>
        <w:rPr>
          <w:rFonts w:eastAsia="Calibri"/>
        </w:rPr>
        <w:t>were</w:t>
      </w:r>
      <w:r w:rsidRPr="00DC6271">
        <w:rPr>
          <w:rFonts w:eastAsia="Calibri"/>
        </w:rPr>
        <w:t xml:space="preserve"> </w:t>
      </w:r>
      <w:r w:rsidR="00E51758" w:rsidRPr="00FF39A4">
        <w:rPr>
          <w:rFonts w:eastAsia="Calibri"/>
        </w:rPr>
        <w:t xml:space="preserve">below the lowest TTC </w:t>
      </w:r>
      <w:r w:rsidRPr="00DC6271">
        <w:rPr>
          <w:rFonts w:eastAsia="Calibri"/>
        </w:rPr>
        <w:t>va</w:t>
      </w:r>
      <w:r>
        <w:rPr>
          <w:rFonts w:eastAsia="Calibri"/>
        </w:rPr>
        <w:t xml:space="preserve">lue </w:t>
      </w:r>
      <w:r w:rsidR="00E51758" w:rsidRPr="00FF39A4">
        <w:rPr>
          <w:rFonts w:eastAsia="Calibri"/>
        </w:rPr>
        <w:t xml:space="preserve">for non-genotoxic substances. </w:t>
      </w:r>
      <w:r>
        <w:rPr>
          <w:rFonts w:eastAsia="Calibri"/>
        </w:rPr>
        <w:t>This figure increased to 97% taking account of</w:t>
      </w:r>
      <w:r w:rsidRPr="006C2086">
        <w:rPr>
          <w:rFonts w:eastAsia="Calibri"/>
        </w:rPr>
        <w:t xml:space="preserve"> a higher </w:t>
      </w:r>
      <w:r>
        <w:rPr>
          <w:rFonts w:eastAsia="Calibri"/>
        </w:rPr>
        <w:t>threshold value derived in a recent re-evaluation of the TTC for this class of compounds</w:t>
      </w:r>
      <w:r w:rsidRPr="006C2086">
        <w:rPr>
          <w:rFonts w:eastAsia="Calibri"/>
        </w:rPr>
        <w:t>.</w:t>
      </w:r>
      <w:r>
        <w:rPr>
          <w:rFonts w:eastAsia="Calibri"/>
        </w:rPr>
        <w:t xml:space="preserve"> </w:t>
      </w:r>
      <w:r w:rsidR="00E51758" w:rsidRPr="003660BA">
        <w:rPr>
          <w:rFonts w:eastAsia="Calibri"/>
          <w:lang w:eastAsia="en-AU"/>
        </w:rPr>
        <w:t>For many of the chemicals with estimated dietary exposure exceeding their respective TTC thresholds, specific toxicity data were located that support the safety of those chemicals.</w:t>
      </w:r>
      <w:r w:rsidR="00E3309E">
        <w:rPr>
          <w:rFonts w:eastAsia="Calibri"/>
          <w:lang w:eastAsia="en-AU"/>
        </w:rPr>
        <w:t xml:space="preserve"> For some chemicals, supporting toxicity data may not be publically available, </w:t>
      </w:r>
      <w:r w:rsidR="00FA522F">
        <w:rPr>
          <w:rFonts w:eastAsia="Calibri"/>
          <w:lang w:eastAsia="en-AU"/>
        </w:rPr>
        <w:t>and</w:t>
      </w:r>
      <w:r w:rsidR="00E3309E">
        <w:rPr>
          <w:rFonts w:eastAsia="Calibri"/>
          <w:lang w:eastAsia="en-AU"/>
        </w:rPr>
        <w:t xml:space="preserve"> toxicity data on structurally related substances was used for safety assessment.</w:t>
      </w:r>
      <w:r w:rsidR="00E51758">
        <w:rPr>
          <w:rFonts w:eastAsia="Calibri"/>
          <w:lang w:eastAsia="en-AU"/>
        </w:rPr>
        <w:t xml:space="preserve"> </w:t>
      </w:r>
    </w:p>
    <w:p w14:paraId="1135EF26" w14:textId="05D4E590" w:rsidR="00053D06" w:rsidRPr="00E51758" w:rsidRDefault="00E51758" w:rsidP="00E51758">
      <w:pPr>
        <w:spacing w:after="120"/>
        <w:rPr>
          <w:rFonts w:eastAsia="Calibri"/>
        </w:rPr>
      </w:pPr>
      <w:r w:rsidRPr="00FF39A4">
        <w:rPr>
          <w:rFonts w:eastAsia="Calibri"/>
        </w:rPr>
        <w:t xml:space="preserve">A conclusion of low </w:t>
      </w:r>
      <w:r>
        <w:rPr>
          <w:rFonts w:eastAsia="Calibri"/>
        </w:rPr>
        <w:t>risk based on the TTC analysis wa</w:t>
      </w:r>
      <w:r w:rsidRPr="00FF39A4">
        <w:rPr>
          <w:rFonts w:eastAsia="Calibri"/>
        </w:rPr>
        <w:t>s supported by the results of a number of analytical surveys investigating the presence of packaging chemicals in Australian and New Zealand foods. These surveys demonstrated that dietary exposures to chemicals migrating from packaging into food are</w:t>
      </w:r>
      <w:r>
        <w:rPr>
          <w:rFonts w:eastAsia="Calibri"/>
        </w:rPr>
        <w:t xml:space="preserve"> generally</w:t>
      </w:r>
      <w:r w:rsidRPr="00FF39A4">
        <w:rPr>
          <w:rFonts w:eastAsia="Calibri"/>
        </w:rPr>
        <w:t xml:space="preserve"> low and below levels of concern. </w:t>
      </w:r>
      <w:r w:rsidR="00053D06" w:rsidRPr="00E51758">
        <w:rPr>
          <w:rFonts w:eastAsia="Calibri"/>
        </w:rPr>
        <w:t>However,</w:t>
      </w:r>
      <w:r>
        <w:rPr>
          <w:rFonts w:eastAsia="Calibri"/>
        </w:rPr>
        <w:t xml:space="preserve"> for</w:t>
      </w:r>
      <w:r w:rsidR="00053D06" w:rsidRPr="00E51758">
        <w:rPr>
          <w:rFonts w:eastAsia="Calibri"/>
        </w:rPr>
        <w:t xml:space="preserve"> two phthalates,</w:t>
      </w:r>
      <w:r>
        <w:rPr>
          <w:rFonts w:eastAsia="Calibri"/>
        </w:rPr>
        <w:t xml:space="preserve"> diethylhexyl phthalate (DEHP) and diisononyl phthalate (DINP),</w:t>
      </w:r>
      <w:r w:rsidR="00053D06" w:rsidRPr="00E51758">
        <w:rPr>
          <w:rFonts w:eastAsia="Calibri"/>
        </w:rPr>
        <w:t xml:space="preserve"> a need was identified for more comprehensive analytical data to </w:t>
      </w:r>
      <w:r w:rsidR="00CE6631">
        <w:rPr>
          <w:rFonts w:eastAsia="Calibri"/>
        </w:rPr>
        <w:t>refine the</w:t>
      </w:r>
      <w:r w:rsidR="00053D06" w:rsidRPr="00E51758">
        <w:rPr>
          <w:rFonts w:eastAsia="Calibri"/>
        </w:rPr>
        <w:t xml:space="preserve"> assessment of potential health and safety risks. </w:t>
      </w:r>
      <w:r w:rsidR="00E14E08" w:rsidRPr="00E51758">
        <w:rPr>
          <w:rFonts w:eastAsia="Calibri"/>
        </w:rPr>
        <w:t>FSANZ commissioned a follow-up survey of phthalates</w:t>
      </w:r>
      <w:r w:rsidR="00C4620E">
        <w:rPr>
          <w:rFonts w:eastAsia="Calibri"/>
        </w:rPr>
        <w:t xml:space="preserve"> and other plasticisers</w:t>
      </w:r>
      <w:r w:rsidR="00E14E08" w:rsidRPr="00E51758">
        <w:rPr>
          <w:rFonts w:eastAsia="Calibri"/>
        </w:rPr>
        <w:t xml:space="preserve"> in a range of foods in mid-2016</w:t>
      </w:r>
      <w:r w:rsidR="00E14E08">
        <w:rPr>
          <w:rFonts w:eastAsia="Calibri"/>
        </w:rPr>
        <w:t xml:space="preserve"> t</w:t>
      </w:r>
      <w:r w:rsidR="00053D06" w:rsidRPr="00E51758">
        <w:rPr>
          <w:rFonts w:eastAsia="Calibri"/>
        </w:rPr>
        <w:t>o address the need for more comprehensive analytical data</w:t>
      </w:r>
      <w:r w:rsidR="00E14E08">
        <w:rPr>
          <w:rFonts w:eastAsia="Calibri"/>
        </w:rPr>
        <w:t>.</w:t>
      </w:r>
      <w:r w:rsidR="00053D06" w:rsidRPr="00E51758">
        <w:rPr>
          <w:rFonts w:eastAsia="Calibri"/>
        </w:rPr>
        <w:t xml:space="preserve"> </w:t>
      </w:r>
    </w:p>
    <w:p w14:paraId="7DA391B1" w14:textId="4E86CBA9" w:rsidR="00CB1F0A" w:rsidRDefault="00C04ABC" w:rsidP="00CB1F0A">
      <w:pPr>
        <w:pStyle w:val="Heading3"/>
        <w:rPr>
          <w:color w:val="00B050"/>
          <w:u w:val="single"/>
          <w:lang w:val="en-AU"/>
        </w:rPr>
      </w:pPr>
      <w:bookmarkStart w:id="62" w:name="_Toc493774528"/>
      <w:r>
        <w:t>2.</w:t>
      </w:r>
      <w:r w:rsidR="001D711A">
        <w:t>2</w:t>
      </w:r>
      <w:r>
        <w:t>.</w:t>
      </w:r>
      <w:r w:rsidR="000A0A8A">
        <w:t>3</w:t>
      </w:r>
      <w:r>
        <w:tab/>
        <w:t>Updated risk assessment</w:t>
      </w:r>
      <w:bookmarkEnd w:id="62"/>
      <w:r>
        <w:t xml:space="preserve"> </w:t>
      </w:r>
      <w:r w:rsidR="00CB1F0A">
        <w:tab/>
      </w:r>
    </w:p>
    <w:p w14:paraId="72F8CB33" w14:textId="7E0DCAEA" w:rsidR="00D81014" w:rsidRPr="003103E1" w:rsidRDefault="00C4620E" w:rsidP="00BA50A8">
      <w:pPr>
        <w:pStyle w:val="Heading5"/>
        <w:rPr>
          <w:rFonts w:eastAsia="Calibri"/>
        </w:rPr>
      </w:pPr>
      <w:r>
        <w:rPr>
          <w:rFonts w:eastAsia="Calibri"/>
        </w:rPr>
        <w:t xml:space="preserve">Plasticiser </w:t>
      </w:r>
      <w:r w:rsidR="00D81014">
        <w:rPr>
          <w:rFonts w:eastAsia="Calibri"/>
        </w:rPr>
        <w:t>survey</w:t>
      </w:r>
    </w:p>
    <w:p w14:paraId="649F3504" w14:textId="35EC607E" w:rsidR="004108D7" w:rsidRDefault="00895307" w:rsidP="004108D7">
      <w:pPr>
        <w:spacing w:after="120"/>
        <w:rPr>
          <w:rFonts w:cs="Arial"/>
        </w:rPr>
      </w:pPr>
      <w:r>
        <w:rPr>
          <w:rFonts w:eastAsia="Calibri"/>
        </w:rPr>
        <w:t xml:space="preserve">FSANZ conducted </w:t>
      </w:r>
      <w:r w:rsidRPr="00FF39A4">
        <w:rPr>
          <w:rFonts w:eastAsia="Calibri"/>
        </w:rPr>
        <w:t>a targeted survey of DEHP and DINP plus five additional plasticisers in Australian foods</w:t>
      </w:r>
      <w:r>
        <w:rPr>
          <w:rFonts w:eastAsia="Calibri"/>
        </w:rPr>
        <w:t xml:space="preserve">. </w:t>
      </w:r>
      <w:r w:rsidR="00346E33">
        <w:rPr>
          <w:rFonts w:eastAsia="Calibri"/>
        </w:rPr>
        <w:t xml:space="preserve">The additional plasticisers were the </w:t>
      </w:r>
      <w:r w:rsidRPr="00FF39A4">
        <w:rPr>
          <w:rFonts w:eastAsia="Calibri"/>
        </w:rPr>
        <w:t>phthalates butyl benzyl phthalate (BBP), dibutyl phthalate (DBP), and diisodecyl phthalate (DIDP), the adipate di(2-ethylhexyl) adipate (DEHA), and the citrate acetyltributylcitrate (ATBC).</w:t>
      </w:r>
      <w:r w:rsidR="00FA522F">
        <w:rPr>
          <w:rFonts w:eastAsia="Calibri"/>
        </w:rPr>
        <w:t xml:space="preserve"> </w:t>
      </w:r>
      <w:r w:rsidR="00E649C6">
        <w:rPr>
          <w:rFonts w:cs="Arial"/>
        </w:rPr>
        <w:t>Th</w:t>
      </w:r>
      <w:r w:rsidR="004108D7" w:rsidRPr="00FF39A4">
        <w:rPr>
          <w:rFonts w:cs="Arial"/>
        </w:rPr>
        <w:t xml:space="preserve">e more refined exposure estimates derived from the present survey indicate that estimated dietary exposures to all the plasticisers included in the survey are below the respective </w:t>
      </w:r>
      <w:r w:rsidR="00E649C6">
        <w:rPr>
          <w:rFonts w:cs="Arial"/>
        </w:rPr>
        <w:t>tolerable daily intakes (</w:t>
      </w:r>
      <w:r w:rsidR="004108D7" w:rsidRPr="00FF39A4">
        <w:rPr>
          <w:rFonts w:cs="Arial"/>
        </w:rPr>
        <w:t>TDIs</w:t>
      </w:r>
      <w:r w:rsidR="00E649C6">
        <w:rPr>
          <w:rStyle w:val="FootnoteReference"/>
          <w:rFonts w:cs="Arial"/>
        </w:rPr>
        <w:footnoteReference w:id="4"/>
      </w:r>
      <w:r w:rsidR="00E649C6">
        <w:rPr>
          <w:rFonts w:cs="Arial"/>
        </w:rPr>
        <w:t>)</w:t>
      </w:r>
      <w:r w:rsidR="004108D7" w:rsidRPr="00FF39A4">
        <w:rPr>
          <w:rFonts w:cs="Arial"/>
        </w:rPr>
        <w:t xml:space="preserve"> for all age groups, for both mean and 90th percentile dietary exposures. Based on these data, current dietary exposures of Australian consumers to the seven plasticisers included in this study are not considered to be of health concern.</w:t>
      </w:r>
    </w:p>
    <w:p w14:paraId="533E42F9" w14:textId="22479D10" w:rsidR="00D81014" w:rsidRPr="003103E1" w:rsidRDefault="00D81014" w:rsidP="00BA50A8">
      <w:pPr>
        <w:pStyle w:val="Heading5"/>
        <w:rPr>
          <w:rFonts w:eastAsia="Calibri"/>
        </w:rPr>
      </w:pPr>
      <w:r w:rsidRPr="003103E1">
        <w:rPr>
          <w:rFonts w:eastAsia="Calibri"/>
        </w:rPr>
        <w:t>Mineral Oil</w:t>
      </w:r>
    </w:p>
    <w:p w14:paraId="658BB227" w14:textId="4CC6EE27" w:rsidR="003C7080" w:rsidRPr="003C7080" w:rsidRDefault="00BB0799" w:rsidP="003C7080">
      <w:pPr>
        <w:spacing w:after="120"/>
        <w:rPr>
          <w:rFonts w:eastAsia="Calibri"/>
        </w:rPr>
      </w:pPr>
      <w:r w:rsidRPr="00FF39A4">
        <w:rPr>
          <w:rFonts w:eastAsia="Calibri"/>
        </w:rPr>
        <w:t xml:space="preserve">FSANZ </w:t>
      </w:r>
      <w:r w:rsidR="00215CFE">
        <w:rPr>
          <w:rFonts w:eastAsia="Calibri"/>
        </w:rPr>
        <w:t xml:space="preserve">has recently completed a </w:t>
      </w:r>
      <w:r w:rsidRPr="00FF39A4">
        <w:rPr>
          <w:rFonts w:eastAsia="Calibri"/>
        </w:rPr>
        <w:t xml:space="preserve">survey of Australian food </w:t>
      </w:r>
      <w:r w:rsidR="00215CFE">
        <w:rPr>
          <w:rFonts w:eastAsia="Calibri"/>
        </w:rPr>
        <w:t>packaging and foods</w:t>
      </w:r>
      <w:r w:rsidR="0023224A">
        <w:rPr>
          <w:rFonts w:eastAsia="Calibri"/>
        </w:rPr>
        <w:t xml:space="preserve">. </w:t>
      </w:r>
      <w:r w:rsidR="00215CFE">
        <w:rPr>
          <w:rFonts w:eastAsia="Calibri"/>
        </w:rPr>
        <w:t xml:space="preserve"> MOH was only detected at quantifiable levels in two food samples</w:t>
      </w:r>
      <w:r w:rsidR="00810E45">
        <w:rPr>
          <w:rFonts w:eastAsia="Calibri"/>
        </w:rPr>
        <w:t xml:space="preserve"> out of a total of fifty six</w:t>
      </w:r>
      <w:r w:rsidR="00215CFE" w:rsidRPr="00FF39A4">
        <w:rPr>
          <w:rFonts w:eastAsia="Calibri"/>
        </w:rPr>
        <w:t>, and there was no evidence of a public health and safety concern</w:t>
      </w:r>
      <w:r w:rsidR="00215CFE">
        <w:rPr>
          <w:rFonts w:eastAsia="Calibri"/>
        </w:rPr>
        <w:t xml:space="preserve">. </w:t>
      </w:r>
      <w:r w:rsidR="003C7080">
        <w:rPr>
          <w:lang w:val="en-AU"/>
        </w:rPr>
        <w:t>FSANZ is aware of industry efforts to minimise the migration of these substances from food packaging into food and will continue to monitor this issue in the future</w:t>
      </w:r>
      <w:r w:rsidR="0039485D">
        <w:rPr>
          <w:rStyle w:val="FootnoteReference"/>
          <w:lang w:val="en-AU"/>
        </w:rPr>
        <w:footnoteReference w:id="5"/>
      </w:r>
      <w:r w:rsidR="003C7080">
        <w:rPr>
          <w:lang w:val="en-AU"/>
        </w:rPr>
        <w:t>.</w:t>
      </w:r>
    </w:p>
    <w:p w14:paraId="7F10C56A" w14:textId="2111C6BD" w:rsidR="00D81014" w:rsidRPr="003103E1" w:rsidRDefault="00D81014" w:rsidP="00BA50A8">
      <w:pPr>
        <w:pStyle w:val="Heading5"/>
      </w:pPr>
      <w:r w:rsidRPr="003103E1">
        <w:t xml:space="preserve">New Zealand survey of </w:t>
      </w:r>
      <w:r w:rsidR="00A771B4" w:rsidRPr="003103E1">
        <w:t>phthalates</w:t>
      </w:r>
    </w:p>
    <w:p w14:paraId="2C82AB5D" w14:textId="47A5661C" w:rsidR="00215CFE" w:rsidRDefault="00014AF3" w:rsidP="00BB0799">
      <w:pPr>
        <w:spacing w:after="120"/>
        <w:rPr>
          <w:rFonts w:eastAsia="Calibri"/>
        </w:rPr>
      </w:pPr>
      <w:r w:rsidRPr="008659B6">
        <w:rPr>
          <w:rFonts w:cs="Arial"/>
        </w:rPr>
        <w:t xml:space="preserve">The Ministry for Primary Industries in New Zealand </w:t>
      </w:r>
      <w:r>
        <w:rPr>
          <w:rFonts w:cs="Arial"/>
        </w:rPr>
        <w:t xml:space="preserve">has </w:t>
      </w:r>
      <w:r w:rsidR="00E649C6">
        <w:rPr>
          <w:rFonts w:cs="Arial"/>
        </w:rPr>
        <w:t>recently completed</w:t>
      </w:r>
      <w:r w:rsidRPr="008659B6">
        <w:rPr>
          <w:rFonts w:cs="Arial"/>
        </w:rPr>
        <w:t xml:space="preserve"> a complementary </w:t>
      </w:r>
      <w:r w:rsidR="005A6708">
        <w:rPr>
          <w:rFonts w:cs="Arial"/>
        </w:rPr>
        <w:t>survey</w:t>
      </w:r>
      <w:r w:rsidRPr="008659B6">
        <w:rPr>
          <w:rFonts w:cs="Arial"/>
        </w:rPr>
        <w:t xml:space="preserve"> of phthalates</w:t>
      </w:r>
      <w:r w:rsidR="005A6708">
        <w:rPr>
          <w:rFonts w:cs="Arial"/>
        </w:rPr>
        <w:t>,</w:t>
      </w:r>
      <w:r w:rsidRPr="008659B6">
        <w:rPr>
          <w:rFonts w:cs="Arial"/>
        </w:rPr>
        <w:t xml:space="preserve"> printing inks</w:t>
      </w:r>
      <w:r w:rsidR="005A6708">
        <w:rPr>
          <w:rFonts w:cs="Arial"/>
        </w:rPr>
        <w:t xml:space="preserve"> and photoinitiators</w:t>
      </w:r>
      <w:r w:rsidRPr="008659B6">
        <w:rPr>
          <w:rFonts w:cs="Arial"/>
        </w:rPr>
        <w:t xml:space="preserve"> in food/packaging combinations retailed in New Zealand.</w:t>
      </w:r>
      <w:r w:rsidR="00B6289C">
        <w:rPr>
          <w:rFonts w:cs="Arial"/>
        </w:rPr>
        <w:t xml:space="preserve"> </w:t>
      </w:r>
      <w:r w:rsidR="00A9311C">
        <w:rPr>
          <w:rFonts w:cs="Arial"/>
        </w:rPr>
        <w:t>Based on the results of this survey</w:t>
      </w:r>
      <w:r w:rsidR="00CF3CD4">
        <w:rPr>
          <w:rFonts w:cs="Arial"/>
        </w:rPr>
        <w:t>,</w:t>
      </w:r>
      <w:r w:rsidR="00A9311C">
        <w:rPr>
          <w:rFonts w:cs="Arial"/>
        </w:rPr>
        <w:t xml:space="preserve"> </w:t>
      </w:r>
      <w:r w:rsidR="00A9311C" w:rsidRPr="008659B6">
        <w:rPr>
          <w:rFonts w:cs="Arial"/>
        </w:rPr>
        <w:t xml:space="preserve">it was concluded that the migration of </w:t>
      </w:r>
      <w:r w:rsidR="005A6708">
        <w:rPr>
          <w:rFonts w:cs="Arial"/>
        </w:rPr>
        <w:t>these substances</w:t>
      </w:r>
      <w:r w:rsidR="00A9311C" w:rsidRPr="008659B6">
        <w:rPr>
          <w:rFonts w:cs="Arial"/>
        </w:rPr>
        <w:t xml:space="preserve"> into packaged New Zealand foods is not a concern for human health.</w:t>
      </w:r>
      <w:r w:rsidR="00A9311C">
        <w:rPr>
          <w:rFonts w:cs="Arial"/>
        </w:rPr>
        <w:t xml:space="preserve"> </w:t>
      </w:r>
    </w:p>
    <w:p w14:paraId="214DF12B" w14:textId="4B13D463" w:rsidR="00BB1395" w:rsidRDefault="00BB1395" w:rsidP="00BB1395">
      <w:pPr>
        <w:pStyle w:val="Heading3"/>
      </w:pPr>
      <w:bookmarkStart w:id="63" w:name="_Toc493774529"/>
      <w:r w:rsidRPr="00BB1395">
        <w:t>2.</w:t>
      </w:r>
      <w:r w:rsidR="001D711A">
        <w:t>2</w:t>
      </w:r>
      <w:r w:rsidRPr="00BB1395">
        <w:t>.</w:t>
      </w:r>
      <w:r w:rsidR="00195516">
        <w:t>4</w:t>
      </w:r>
      <w:r w:rsidRPr="00BB1395">
        <w:tab/>
      </w:r>
      <w:r>
        <w:t>Conclusions</w:t>
      </w:r>
      <w:bookmarkEnd w:id="63"/>
      <w:r>
        <w:t xml:space="preserve"> </w:t>
      </w:r>
    </w:p>
    <w:p w14:paraId="63883012" w14:textId="28786AF0" w:rsidR="002A0D15" w:rsidRPr="00D51906" w:rsidRDefault="00A9311C" w:rsidP="00A9311C">
      <w:pPr>
        <w:spacing w:after="120"/>
        <w:rPr>
          <w:lang w:eastAsia="en-AU" w:bidi="ar-SA"/>
        </w:rPr>
      </w:pPr>
      <w:r>
        <w:rPr>
          <w:rFonts w:eastAsia="Calibri"/>
        </w:rPr>
        <w:t xml:space="preserve">FSANZ has conducted a range of activities </w:t>
      </w:r>
      <w:r w:rsidRPr="008659B6">
        <w:rPr>
          <w:rFonts w:cs="Arial"/>
        </w:rPr>
        <w:t>to investigate the potential human health risks from migration of chemicals in packaging into food</w:t>
      </w:r>
      <w:r>
        <w:rPr>
          <w:rFonts w:cs="Arial"/>
        </w:rPr>
        <w:t xml:space="preserve">. This work has included </w:t>
      </w:r>
      <w:r w:rsidR="00495540">
        <w:rPr>
          <w:rFonts w:cs="Arial"/>
        </w:rPr>
        <w:t>analysis</w:t>
      </w:r>
      <w:r>
        <w:rPr>
          <w:rFonts w:cs="Arial"/>
        </w:rPr>
        <w:t xml:space="preserve"> of </w:t>
      </w:r>
      <w:r w:rsidR="00252BD4">
        <w:rPr>
          <w:rFonts w:cs="Arial"/>
        </w:rPr>
        <w:t>a USFDA database of over 1300 food contact substances, as well as several analytical surveys of packaging chemicals in Australian and New Zealand foods.</w:t>
      </w:r>
      <w:r>
        <w:rPr>
          <w:rFonts w:eastAsia="Calibri"/>
        </w:rPr>
        <w:t xml:space="preserve"> </w:t>
      </w:r>
      <w:r w:rsidRPr="00FF39A4">
        <w:rPr>
          <w:rFonts w:eastAsia="Calibri"/>
        </w:rPr>
        <w:t xml:space="preserve">The overall conclusion based on the available data is that the human health risk posed by </w:t>
      </w:r>
      <w:r>
        <w:rPr>
          <w:rFonts w:eastAsia="Calibri"/>
        </w:rPr>
        <w:t>c</w:t>
      </w:r>
      <w:r w:rsidRPr="00FF39A4">
        <w:rPr>
          <w:rFonts w:eastAsia="Calibri"/>
        </w:rPr>
        <w:t>hemical migration from packaging into food available in Australia and New Zealand is low</w:t>
      </w:r>
      <w:r w:rsidR="00C4620E">
        <w:t xml:space="preserve"> </w:t>
      </w:r>
      <w:r w:rsidR="00FD24EF">
        <w:rPr>
          <w:rFonts w:eastAsia="Calibri"/>
        </w:rPr>
        <w:t>a</w:t>
      </w:r>
      <w:r w:rsidR="00710441">
        <w:rPr>
          <w:rFonts w:eastAsia="Calibri"/>
        </w:rPr>
        <w:t>nd not of public health concern.</w:t>
      </w:r>
    </w:p>
    <w:p w14:paraId="174E99B1" w14:textId="7B15A9B8" w:rsidR="00A670A7" w:rsidRPr="00932F14" w:rsidRDefault="00A670A7" w:rsidP="00A670A7">
      <w:pPr>
        <w:pStyle w:val="Heading2"/>
      </w:pPr>
      <w:bookmarkStart w:id="64" w:name="_Toc370223473"/>
      <w:bookmarkStart w:id="65" w:name="_Toc493774530"/>
      <w:bookmarkEnd w:id="57"/>
      <w:r>
        <w:t>2.</w:t>
      </w:r>
      <w:r w:rsidR="001D711A">
        <w:t>3</w:t>
      </w:r>
      <w:r>
        <w:tab/>
        <w:t>Risk management</w:t>
      </w:r>
      <w:bookmarkEnd w:id="64"/>
      <w:bookmarkEnd w:id="65"/>
    </w:p>
    <w:p w14:paraId="690A7786" w14:textId="3AEFF931" w:rsidR="00B55339" w:rsidRDefault="00B55339" w:rsidP="00B55339">
      <w:pPr>
        <w:pStyle w:val="Heading3"/>
      </w:pPr>
      <w:bookmarkStart w:id="66" w:name="_Toc493774531"/>
      <w:r w:rsidRPr="00B55339">
        <w:t>2.</w:t>
      </w:r>
      <w:r w:rsidR="001D711A">
        <w:t>3</w:t>
      </w:r>
      <w:r w:rsidRPr="00B55339">
        <w:t>.1</w:t>
      </w:r>
      <w:r w:rsidRPr="00B55339">
        <w:tab/>
      </w:r>
      <w:r w:rsidR="00D51906">
        <w:t>General approach to risk management</w:t>
      </w:r>
      <w:bookmarkEnd w:id="66"/>
      <w:r w:rsidR="00D51906">
        <w:t xml:space="preserve"> </w:t>
      </w:r>
    </w:p>
    <w:p w14:paraId="394973DF" w14:textId="4E6917CD" w:rsidR="00CD5D34" w:rsidRPr="00CD5D34" w:rsidRDefault="00CD5D34" w:rsidP="00CD5D34">
      <w:pPr>
        <w:rPr>
          <w:lang w:eastAsia="en-AU" w:bidi="ar-SA"/>
        </w:rPr>
      </w:pPr>
      <w:r w:rsidRPr="00CD5D34">
        <w:rPr>
          <w:lang w:eastAsia="en-AU" w:bidi="ar-SA"/>
        </w:rPr>
        <w:t xml:space="preserve">The risk of adverse health effects to consumers from any chemical present in food depends on the characteristics of the chemical and the exposure resulting from consuming foods containing the chemical. The primary evidence that CMPF poses a potential public health risk comes from the extensive characterisation of a large number of packaging chemicals internationally. </w:t>
      </w:r>
    </w:p>
    <w:p w14:paraId="51EEF706" w14:textId="77777777" w:rsidR="00CD5D34" w:rsidRPr="00CD5D34" w:rsidRDefault="00CD5D34" w:rsidP="00CD5D34">
      <w:pPr>
        <w:rPr>
          <w:lang w:eastAsia="en-AU" w:bidi="ar-SA"/>
        </w:rPr>
      </w:pPr>
    </w:p>
    <w:p w14:paraId="578776D2" w14:textId="38B568DB" w:rsidR="00CD5D34" w:rsidRPr="00CD5D34" w:rsidRDefault="00CD5D34" w:rsidP="00CD5D34">
      <w:pPr>
        <w:rPr>
          <w:lang w:eastAsia="en-AU" w:bidi="ar-SA"/>
        </w:rPr>
      </w:pPr>
      <w:r w:rsidRPr="00CD5D34">
        <w:rPr>
          <w:lang w:eastAsia="en-AU" w:bidi="ar-SA"/>
        </w:rPr>
        <w:t xml:space="preserve">Most of these chemicals are not thought to pose a risk and FSANZ, together with other international scientists and regulators, </w:t>
      </w:r>
      <w:r w:rsidR="00E14E08">
        <w:rPr>
          <w:lang w:eastAsia="en-AU" w:bidi="ar-SA"/>
        </w:rPr>
        <w:t xml:space="preserve">is </w:t>
      </w:r>
      <w:r w:rsidRPr="00CD5D34">
        <w:rPr>
          <w:lang w:eastAsia="en-AU" w:bidi="ar-SA"/>
        </w:rPr>
        <w:t xml:space="preserve">focussed on a small number of chemicals of interest. The risk assessment approaches are typically tiered, with increasing information required on the toxicology of the chemical as the migration level of the chemical increases. Migration levels of packaging chemicals in food are typically too low to result in acute adverse health effects. </w:t>
      </w:r>
    </w:p>
    <w:p w14:paraId="02E647BC" w14:textId="77777777" w:rsidR="00CD5D34" w:rsidRPr="00CD5D34" w:rsidRDefault="00CD5D34" w:rsidP="00CD5D34">
      <w:pPr>
        <w:rPr>
          <w:lang w:eastAsia="en-AU" w:bidi="ar-SA"/>
        </w:rPr>
      </w:pPr>
    </w:p>
    <w:p w14:paraId="53664645" w14:textId="22FFB1E5" w:rsidR="003B5594" w:rsidRDefault="00CD5D34" w:rsidP="003103E1">
      <w:pPr>
        <w:rPr>
          <w:lang w:eastAsia="en-AU" w:bidi="ar-SA"/>
        </w:rPr>
      </w:pPr>
      <w:r w:rsidRPr="00CD5D34">
        <w:rPr>
          <w:lang w:eastAsia="en-AU" w:bidi="ar-SA"/>
        </w:rPr>
        <w:t>The overarching goal of risk management in FSANZ is to develop risk management options that address food</w:t>
      </w:r>
      <w:r w:rsidR="00D231D0">
        <w:rPr>
          <w:lang w:eastAsia="en-AU" w:bidi="ar-SA"/>
        </w:rPr>
        <w:t>-</w:t>
      </w:r>
      <w:r w:rsidRPr="00CD5D34">
        <w:rPr>
          <w:lang w:eastAsia="en-AU" w:bidi="ar-SA"/>
        </w:rPr>
        <w:t xml:space="preserve">related risks. </w:t>
      </w:r>
    </w:p>
    <w:p w14:paraId="6C50CC36" w14:textId="77777777" w:rsidR="00D231D0" w:rsidRDefault="00D231D0" w:rsidP="003103E1">
      <w:pPr>
        <w:rPr>
          <w:lang w:eastAsia="en-AU" w:bidi="ar-SA"/>
        </w:rPr>
      </w:pPr>
    </w:p>
    <w:p w14:paraId="4C5BFF58" w14:textId="7178E9FC" w:rsidR="00CD5D34" w:rsidRPr="00CD5D34" w:rsidRDefault="00CD5D34" w:rsidP="00CD5D34">
      <w:pPr>
        <w:rPr>
          <w:lang w:eastAsia="en-AU" w:bidi="ar-SA"/>
        </w:rPr>
      </w:pPr>
      <w:r w:rsidRPr="00CD5D34">
        <w:rPr>
          <w:lang w:eastAsia="en-AU" w:bidi="ar-SA"/>
        </w:rPr>
        <w:t xml:space="preserve">In the case of CMPF, </w:t>
      </w:r>
      <w:r w:rsidR="00D9210A">
        <w:rPr>
          <w:lang w:eastAsia="en-AU" w:bidi="ar-SA"/>
        </w:rPr>
        <w:t xml:space="preserve">the risk management goal is </w:t>
      </w:r>
      <w:r w:rsidRPr="00CD5D34">
        <w:rPr>
          <w:lang w:eastAsia="en-AU" w:bidi="ar-SA"/>
        </w:rPr>
        <w:t xml:space="preserve">to protect consumers from potential adverse effects arising from repeated dietary exposure to packaging chemicals over a </w:t>
      </w:r>
      <w:r w:rsidR="00670538">
        <w:rPr>
          <w:lang w:eastAsia="en-AU" w:bidi="ar-SA"/>
        </w:rPr>
        <w:t>long period (chronic exposure).</w:t>
      </w:r>
    </w:p>
    <w:p w14:paraId="4A8D8E9B" w14:textId="5C3EAA89" w:rsidR="00BB1395" w:rsidRDefault="00BB1395" w:rsidP="00BB1395">
      <w:pPr>
        <w:pStyle w:val="Heading3"/>
      </w:pPr>
      <w:bookmarkStart w:id="67" w:name="_Toc493774532"/>
      <w:r>
        <w:t>2.</w:t>
      </w:r>
      <w:r w:rsidR="001D711A">
        <w:t>3</w:t>
      </w:r>
      <w:r>
        <w:t>.2</w:t>
      </w:r>
      <w:r>
        <w:tab/>
        <w:t>Determination of residual risk</w:t>
      </w:r>
      <w:bookmarkEnd w:id="67"/>
    </w:p>
    <w:p w14:paraId="6703D0B8" w14:textId="7C8D7FA1" w:rsidR="00E8036C" w:rsidRPr="00E8036C" w:rsidRDefault="00CD5D34" w:rsidP="00E8036C">
      <w:pPr>
        <w:rPr>
          <w:lang w:eastAsia="en-AU"/>
        </w:rPr>
      </w:pPr>
      <w:r w:rsidRPr="00CD5D34">
        <w:rPr>
          <w:lang w:eastAsia="en-AU" w:bidi="ar-SA"/>
        </w:rPr>
        <w:t xml:space="preserve">A </w:t>
      </w:r>
      <w:r w:rsidR="00E14E08">
        <w:rPr>
          <w:lang w:eastAsia="en-AU" w:bidi="ar-SA"/>
        </w:rPr>
        <w:t xml:space="preserve">number </w:t>
      </w:r>
      <w:r w:rsidRPr="00CD5D34">
        <w:rPr>
          <w:lang w:eastAsia="en-AU" w:bidi="ar-SA"/>
        </w:rPr>
        <w:t>of factors were considered</w:t>
      </w:r>
      <w:r w:rsidR="00E14E08">
        <w:rPr>
          <w:lang w:eastAsia="en-AU" w:bidi="ar-SA"/>
        </w:rPr>
        <w:t xml:space="preserve"> in weighing</w:t>
      </w:r>
      <w:r w:rsidRPr="00CD5D34">
        <w:rPr>
          <w:lang w:eastAsia="en-AU" w:bidi="ar-SA"/>
        </w:rPr>
        <w:t xml:space="preserve"> up the residual risk from CMPF and any subsequent risk management options as illustrated in Figure 1.</w:t>
      </w:r>
      <w:r w:rsidR="003048C1">
        <w:rPr>
          <w:lang w:eastAsia="en-AU" w:bidi="ar-SA"/>
        </w:rPr>
        <w:t xml:space="preserve"> </w:t>
      </w:r>
      <w:r w:rsidR="003048C1">
        <w:rPr>
          <w:lang w:eastAsia="en-AU"/>
        </w:rPr>
        <w:t>Factors include</w:t>
      </w:r>
      <w:r w:rsidR="00077654">
        <w:rPr>
          <w:lang w:eastAsia="en-AU"/>
        </w:rPr>
        <w:t>d</w:t>
      </w:r>
      <w:r w:rsidR="003048C1">
        <w:rPr>
          <w:lang w:eastAsia="en-AU"/>
        </w:rPr>
        <w:t xml:space="preserve"> </w:t>
      </w:r>
      <w:r w:rsidR="00E8036C" w:rsidRPr="00E8036C">
        <w:rPr>
          <w:lang w:eastAsia="en-AU"/>
        </w:rPr>
        <w:t>standards in place under overseas laws (and which do not apply in Australia or New Zealand) and/or under packaging codes of practice or guidelines</w:t>
      </w:r>
      <w:r w:rsidR="003048C1">
        <w:rPr>
          <w:lang w:eastAsia="en-AU"/>
        </w:rPr>
        <w:t>.</w:t>
      </w:r>
      <w:r w:rsidR="003048C1" w:rsidRPr="003048C1">
        <w:rPr>
          <w:rFonts w:cs="Arial"/>
          <w:color w:val="000000"/>
          <w:szCs w:val="22"/>
          <w:lang w:eastAsia="en-GB" w:bidi="ar-SA"/>
        </w:rPr>
        <w:t xml:space="preserve"> </w:t>
      </w:r>
    </w:p>
    <w:p w14:paraId="0828C8BA" w14:textId="77777777" w:rsidR="00E8036C" w:rsidRPr="00CD5D34" w:rsidRDefault="00E8036C" w:rsidP="00CD5D34">
      <w:pPr>
        <w:rPr>
          <w:lang w:eastAsia="en-AU" w:bidi="ar-SA"/>
        </w:rPr>
      </w:pPr>
    </w:p>
    <w:p w14:paraId="36387B49" w14:textId="5FC643AD" w:rsidR="00CD5D34" w:rsidRPr="00CD5D34" w:rsidRDefault="00CD5D34" w:rsidP="00CD5D34">
      <w:pPr>
        <w:rPr>
          <w:lang w:eastAsia="en-AU" w:bidi="ar-SA"/>
        </w:rPr>
      </w:pPr>
      <w:r w:rsidRPr="00CD5D34">
        <w:rPr>
          <w:lang w:eastAsia="en-AU" w:bidi="ar-SA"/>
        </w:rPr>
        <w:t xml:space="preserve">Overall the analysis of current control measures employed by raw material suppliers and packaging manufacturers in Australia and New Zealand indicates that there is </w:t>
      </w:r>
      <w:r w:rsidR="00D9210A">
        <w:rPr>
          <w:lang w:eastAsia="en-AU" w:bidi="ar-SA"/>
        </w:rPr>
        <w:t>effective</w:t>
      </w:r>
      <w:r w:rsidR="00D9210A" w:rsidRPr="00CD5D34">
        <w:rPr>
          <w:lang w:eastAsia="en-AU" w:bidi="ar-SA"/>
        </w:rPr>
        <w:t xml:space="preserve"> </w:t>
      </w:r>
      <w:r w:rsidRPr="00CD5D34">
        <w:rPr>
          <w:lang w:eastAsia="en-AU" w:bidi="ar-SA"/>
        </w:rPr>
        <w:t xml:space="preserve">upstream control of CMPF. </w:t>
      </w:r>
    </w:p>
    <w:p w14:paraId="2FDE71CB" w14:textId="77777777" w:rsidR="00CD5D34" w:rsidRPr="00CD5D34" w:rsidRDefault="00CD5D34" w:rsidP="00CD5D34">
      <w:pPr>
        <w:rPr>
          <w:lang w:eastAsia="en-AU" w:bidi="ar-SA"/>
        </w:rPr>
      </w:pPr>
    </w:p>
    <w:p w14:paraId="03C03D29" w14:textId="7B8CA092" w:rsidR="00CD5D34" w:rsidRPr="00CD5D34" w:rsidRDefault="00CD5D34" w:rsidP="00CD5D34">
      <w:pPr>
        <w:rPr>
          <w:lang w:eastAsia="en-AU" w:bidi="ar-SA"/>
        </w:rPr>
      </w:pPr>
      <w:r w:rsidRPr="00CD5D34">
        <w:rPr>
          <w:lang w:eastAsia="en-AU" w:bidi="ar-SA"/>
        </w:rPr>
        <w:t>Furthermore, evidence from packaging surveys, including the second phase of the 24th ATDS</w:t>
      </w:r>
      <w:r w:rsidR="000F2993">
        <w:rPr>
          <w:lang w:eastAsia="en-AU" w:bidi="ar-SA"/>
        </w:rPr>
        <w:t xml:space="preserve"> published in January 2016</w:t>
      </w:r>
      <w:r w:rsidRPr="00CD5D34">
        <w:rPr>
          <w:lang w:eastAsia="en-AU" w:bidi="ar-SA"/>
        </w:rPr>
        <w:t>, and the follow up phthalate survey</w:t>
      </w:r>
      <w:r w:rsidR="00D9210A">
        <w:rPr>
          <w:lang w:eastAsia="en-AU" w:bidi="ar-SA"/>
        </w:rPr>
        <w:t>,</w:t>
      </w:r>
      <w:r w:rsidRPr="00CD5D34">
        <w:rPr>
          <w:lang w:eastAsia="en-AU" w:bidi="ar-SA"/>
        </w:rPr>
        <w:t xml:space="preserve"> showed that the estimated exposures to packaging chemicals detected in Australian foods and beverages were below internationally recognised safe levels and presented a negligible to low risk to the Australian and New Zealand population. Therefore, on balance the residual risk from CMPF is considered low.</w:t>
      </w:r>
    </w:p>
    <w:p w14:paraId="00F6FB28" w14:textId="77777777" w:rsidR="00CD5D34" w:rsidRPr="00CD5D34" w:rsidRDefault="00CD5D34" w:rsidP="00CD5D34">
      <w:pPr>
        <w:rPr>
          <w:lang w:eastAsia="en-AU" w:bidi="ar-SA"/>
        </w:rPr>
      </w:pPr>
    </w:p>
    <w:p w14:paraId="22039418" w14:textId="77777777" w:rsidR="00CD5D34" w:rsidRPr="00CD5D34" w:rsidRDefault="00CD5D34" w:rsidP="00CD5D34">
      <w:pPr>
        <w:rPr>
          <w:lang w:eastAsia="en-AU" w:bidi="ar-SA"/>
        </w:rPr>
      </w:pPr>
    </w:p>
    <w:p w14:paraId="7E551CDB" w14:textId="77777777" w:rsidR="00CD5D34" w:rsidRPr="00CD5D34" w:rsidRDefault="00CD5D34" w:rsidP="00CD5D34">
      <w:pPr>
        <w:rPr>
          <w:lang w:eastAsia="en-AU" w:bidi="ar-SA"/>
        </w:rPr>
      </w:pPr>
      <w:r w:rsidRPr="00CD5D34">
        <w:rPr>
          <w:noProof/>
          <w:lang w:eastAsia="en-GB" w:bidi="ar-SA"/>
        </w:rPr>
        <w:drawing>
          <wp:inline distT="0" distB="0" distL="0" distR="0" wp14:anchorId="66FE97DB" wp14:editId="0289F29D">
            <wp:extent cx="5876382" cy="4338329"/>
            <wp:effectExtent l="0" t="0" r="0" b="5080"/>
            <wp:docPr id="14" name="Picture 14" descr="This Figure describes the range of factors and influencers of residual risk. " title="Factors that Affect Residual R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879608" cy="4340711"/>
                    </a:xfrm>
                    <a:prstGeom prst="rect">
                      <a:avLst/>
                    </a:prstGeom>
                    <a:noFill/>
                  </pic:spPr>
                </pic:pic>
              </a:graphicData>
            </a:graphic>
          </wp:inline>
        </w:drawing>
      </w:r>
    </w:p>
    <w:p w14:paraId="2240E9FB" w14:textId="77777777" w:rsidR="00CD5D34" w:rsidRPr="00CD5D34" w:rsidRDefault="00CD5D34" w:rsidP="00CD5D34">
      <w:pPr>
        <w:rPr>
          <w:b/>
          <w:lang w:eastAsia="en-AU" w:bidi="ar-SA"/>
        </w:rPr>
      </w:pPr>
    </w:p>
    <w:p w14:paraId="2F5D15BB" w14:textId="77777777" w:rsidR="00CD5D34" w:rsidRPr="00BA50A8" w:rsidRDefault="00CD5D34" w:rsidP="00CD5D34">
      <w:pPr>
        <w:rPr>
          <w:b/>
          <w:i/>
          <w:lang w:eastAsia="en-AU" w:bidi="ar-SA"/>
        </w:rPr>
      </w:pPr>
      <w:r w:rsidRPr="00BA50A8">
        <w:rPr>
          <w:b/>
          <w:i/>
          <w:lang w:eastAsia="en-AU" w:bidi="ar-SA"/>
        </w:rPr>
        <w:t>Figure 1:  Illustration of factors affecting the residual risk from CMPF.</w:t>
      </w:r>
    </w:p>
    <w:p w14:paraId="21176EB8" w14:textId="77777777" w:rsidR="00CD5D34" w:rsidRPr="00CD5D34" w:rsidRDefault="00CD5D34" w:rsidP="00CD5D34">
      <w:pPr>
        <w:rPr>
          <w:lang w:eastAsia="en-AU" w:bidi="ar-SA"/>
        </w:rPr>
      </w:pPr>
    </w:p>
    <w:p w14:paraId="286AB859" w14:textId="72972CCC" w:rsidR="00BB1395" w:rsidRDefault="00BB1395" w:rsidP="00D231D0">
      <w:pPr>
        <w:pStyle w:val="Heading3"/>
      </w:pPr>
      <w:bookmarkStart w:id="68" w:name="_Toc493774533"/>
      <w:r w:rsidRPr="00BB1395">
        <w:t>2.</w:t>
      </w:r>
      <w:r w:rsidR="001D711A">
        <w:t>3</w:t>
      </w:r>
      <w:r w:rsidRPr="00BB1395">
        <w:t>.3</w:t>
      </w:r>
      <w:r w:rsidRPr="00BB1395">
        <w:tab/>
        <w:t>Risk management options: graduated approach</w:t>
      </w:r>
      <w:bookmarkEnd w:id="68"/>
    </w:p>
    <w:p w14:paraId="4BC26A6A" w14:textId="7402392D" w:rsidR="00CD5D34" w:rsidRPr="00FE0EC4" w:rsidRDefault="00CD5D34" w:rsidP="00CD5D34">
      <w:pPr>
        <w:rPr>
          <w:rFonts w:cs="Arial"/>
        </w:rPr>
      </w:pPr>
      <w:r>
        <w:rPr>
          <w:rFonts w:cs="Arial"/>
        </w:rPr>
        <w:t>Developing multiple options for consultation and analysis</w:t>
      </w:r>
      <w:r w:rsidRPr="00F33593">
        <w:rPr>
          <w:rFonts w:cs="Arial"/>
        </w:rPr>
        <w:t xml:space="preserve"> </w:t>
      </w:r>
      <w:r w:rsidRPr="00F33593">
        <w:rPr>
          <w:rFonts w:cs="Arial"/>
          <w:color w:val="000000"/>
        </w:rPr>
        <w:t>is an essenti</w:t>
      </w:r>
      <w:r w:rsidR="00C7130D">
        <w:rPr>
          <w:rFonts w:cs="Arial"/>
          <w:color w:val="000000"/>
        </w:rPr>
        <w:t xml:space="preserve">al step in </w:t>
      </w:r>
      <w:r w:rsidR="00D9210A">
        <w:rPr>
          <w:rFonts w:cs="Arial"/>
          <w:color w:val="000000"/>
        </w:rPr>
        <w:t xml:space="preserve">effective </w:t>
      </w:r>
      <w:r w:rsidR="00C7130D">
        <w:rPr>
          <w:rFonts w:cs="Arial"/>
          <w:color w:val="000000"/>
        </w:rPr>
        <w:t xml:space="preserve">risk management. In </w:t>
      </w:r>
      <w:r>
        <w:rPr>
          <w:rFonts w:cs="Arial"/>
          <w:color w:val="000000"/>
        </w:rPr>
        <w:t>order to ascertain</w:t>
      </w:r>
      <w:r w:rsidRPr="00F33593">
        <w:rPr>
          <w:rFonts w:cs="Arial"/>
          <w:color w:val="000000"/>
        </w:rPr>
        <w:t xml:space="preserve"> the</w:t>
      </w:r>
      <w:r w:rsidR="00C7130D">
        <w:rPr>
          <w:rFonts w:cs="Arial"/>
          <w:color w:val="000000"/>
        </w:rPr>
        <w:t xml:space="preserve"> best solution to a problem </w:t>
      </w:r>
      <w:r>
        <w:rPr>
          <w:rFonts w:cs="Arial"/>
          <w:color w:val="000000"/>
        </w:rPr>
        <w:t>more than one</w:t>
      </w:r>
      <w:r w:rsidRPr="00F33593">
        <w:rPr>
          <w:rFonts w:cs="Arial"/>
          <w:color w:val="000000"/>
        </w:rPr>
        <w:t xml:space="preserve"> option</w:t>
      </w:r>
      <w:r>
        <w:rPr>
          <w:rFonts w:cs="Arial"/>
          <w:color w:val="000000"/>
        </w:rPr>
        <w:t xml:space="preserve"> needs to be assessed. For example, </w:t>
      </w:r>
      <w:r>
        <w:rPr>
          <w:rFonts w:cs="Arial"/>
        </w:rPr>
        <w:t xml:space="preserve">a </w:t>
      </w:r>
      <w:r w:rsidRPr="004A37C6">
        <w:rPr>
          <w:rFonts w:cs="Arial"/>
        </w:rPr>
        <w:t>maximum level (ML) can be set in the Code when a chemical has been identified t</w:t>
      </w:r>
      <w:r w:rsidR="00D231D0">
        <w:rPr>
          <w:rFonts w:cs="Arial"/>
        </w:rPr>
        <w:t>hat</w:t>
      </w:r>
      <w:r w:rsidRPr="004A37C6">
        <w:rPr>
          <w:rFonts w:cs="Arial"/>
        </w:rPr>
        <w:t xml:space="preserve"> present</w:t>
      </w:r>
      <w:r w:rsidR="00D231D0">
        <w:rPr>
          <w:rFonts w:cs="Arial"/>
        </w:rPr>
        <w:t>s</w:t>
      </w:r>
      <w:r w:rsidRPr="004A37C6">
        <w:rPr>
          <w:rFonts w:cs="Arial"/>
        </w:rPr>
        <w:t xml:space="preserve"> a significant risk to public health and safety. </w:t>
      </w:r>
      <w:r>
        <w:rPr>
          <w:rFonts w:cs="Arial"/>
        </w:rPr>
        <w:t xml:space="preserve">However, an ML is only one risk management tool and is usually set </w:t>
      </w:r>
      <w:r w:rsidRPr="00FE0EC4">
        <w:rPr>
          <w:rFonts w:cs="Arial"/>
        </w:rPr>
        <w:t xml:space="preserve">in accordance with the following key principles: </w:t>
      </w:r>
    </w:p>
    <w:p w14:paraId="7C793CC5" w14:textId="77777777" w:rsidR="00CD5D34" w:rsidRPr="00FE0EC4" w:rsidRDefault="00CD5D34" w:rsidP="00CD5D34">
      <w:pPr>
        <w:rPr>
          <w:rFonts w:cs="Arial"/>
        </w:rPr>
      </w:pPr>
    </w:p>
    <w:p w14:paraId="521D50B8" w14:textId="03A008DE" w:rsidR="00CD5D34" w:rsidRPr="001D2B7D" w:rsidRDefault="00CD5D34" w:rsidP="00BA50A8">
      <w:pPr>
        <w:pStyle w:val="FSBullet1"/>
      </w:pPr>
      <w:r w:rsidRPr="001D2B7D">
        <w:t>for contaminants that present a significant risk to public health and safety</w:t>
      </w:r>
    </w:p>
    <w:p w14:paraId="49AE8620" w14:textId="735155EF" w:rsidR="00CD5D34" w:rsidRPr="001D2B7D" w:rsidRDefault="00CD5D34" w:rsidP="00BA50A8">
      <w:pPr>
        <w:pStyle w:val="FSBullet1"/>
      </w:pPr>
      <w:r w:rsidRPr="001D2B7D">
        <w:t>for foods that significantly contribute to the dietary exposure of the contaminant</w:t>
      </w:r>
    </w:p>
    <w:p w14:paraId="475C46F3" w14:textId="1969ADEC" w:rsidR="00CD5D34" w:rsidRPr="001D2B7D" w:rsidRDefault="00CD5D34" w:rsidP="00BA50A8">
      <w:pPr>
        <w:pStyle w:val="FSBullet1"/>
      </w:pPr>
      <w:r w:rsidRPr="001D2B7D">
        <w:t>to ensure that levels are as low as reasonably achievable (ALARA).</w:t>
      </w:r>
    </w:p>
    <w:p w14:paraId="3A1AC380" w14:textId="77777777" w:rsidR="00CD5D34" w:rsidRDefault="00CD5D34" w:rsidP="00CD5D34">
      <w:pPr>
        <w:rPr>
          <w:rFonts w:cs="Arial"/>
        </w:rPr>
      </w:pPr>
    </w:p>
    <w:p w14:paraId="2FCADC91" w14:textId="77777777" w:rsidR="00CD5D34" w:rsidRDefault="00CD5D34" w:rsidP="00CD5D34">
      <w:pPr>
        <w:rPr>
          <w:rFonts w:cs="Arial"/>
        </w:rPr>
      </w:pPr>
      <w:r>
        <w:rPr>
          <w:rFonts w:cs="Arial"/>
        </w:rPr>
        <w:t>Currently, there are t</w:t>
      </w:r>
      <w:r w:rsidRPr="004A37C6">
        <w:rPr>
          <w:rFonts w:cs="Arial"/>
        </w:rPr>
        <w:t xml:space="preserve">hree packaging chemicals </w:t>
      </w:r>
      <w:r>
        <w:rPr>
          <w:rFonts w:cs="Arial"/>
        </w:rPr>
        <w:t xml:space="preserve">that meet the above criteria and </w:t>
      </w:r>
      <w:r w:rsidRPr="004A37C6">
        <w:rPr>
          <w:rFonts w:cs="Arial"/>
        </w:rPr>
        <w:t>have ML</w:t>
      </w:r>
      <w:r>
        <w:rPr>
          <w:rFonts w:cs="Arial"/>
        </w:rPr>
        <w:t>s</w:t>
      </w:r>
      <w:r w:rsidRPr="004A37C6">
        <w:rPr>
          <w:rFonts w:cs="Arial"/>
        </w:rPr>
        <w:t xml:space="preserve"> in the Code: tin, acrylon</w:t>
      </w:r>
      <w:r>
        <w:rPr>
          <w:rFonts w:cs="Arial"/>
        </w:rPr>
        <w:t xml:space="preserve">itrile, and vinyl chloride (under </w:t>
      </w:r>
      <w:r w:rsidRPr="004A37C6">
        <w:rPr>
          <w:rFonts w:cs="Arial"/>
        </w:rPr>
        <w:t xml:space="preserve">Schedule 19 of the Code). </w:t>
      </w:r>
    </w:p>
    <w:p w14:paraId="147C8311" w14:textId="77777777" w:rsidR="00CD5D34" w:rsidRDefault="00CD5D34" w:rsidP="00CD5D34">
      <w:pPr>
        <w:rPr>
          <w:rFonts w:cs="Arial"/>
        </w:rPr>
      </w:pPr>
    </w:p>
    <w:p w14:paraId="724CF8CB" w14:textId="57385081" w:rsidR="00CD5D34" w:rsidRDefault="00CD5D34" w:rsidP="00CD5D34">
      <w:pPr>
        <w:rPr>
          <w:rFonts w:cs="Arial"/>
        </w:rPr>
      </w:pPr>
      <w:r>
        <w:rPr>
          <w:rFonts w:cs="Arial"/>
        </w:rPr>
        <w:t xml:space="preserve">FSANZ commenced P1034 </w:t>
      </w:r>
      <w:r w:rsidR="00E60A86">
        <w:rPr>
          <w:rFonts w:cs="Arial"/>
        </w:rPr>
        <w:t xml:space="preserve">in 2014 </w:t>
      </w:r>
      <w:r>
        <w:rPr>
          <w:rFonts w:cs="Arial"/>
        </w:rPr>
        <w:t xml:space="preserve">to consider the most appropriate risk management option(s) needed to control CMPF </w:t>
      </w:r>
      <w:r w:rsidR="00D9210A">
        <w:rPr>
          <w:rFonts w:cs="Arial"/>
        </w:rPr>
        <w:t xml:space="preserve">in </w:t>
      </w:r>
      <w:r>
        <w:rPr>
          <w:rFonts w:cs="Arial"/>
        </w:rPr>
        <w:t xml:space="preserve">Australia and New Zealand, based on the best available science. </w:t>
      </w:r>
      <w:r w:rsidR="00E60A86">
        <w:rPr>
          <w:rFonts w:cs="Arial"/>
        </w:rPr>
        <w:t xml:space="preserve">At that time, </w:t>
      </w:r>
      <w:r w:rsidR="00D9210A">
        <w:rPr>
          <w:rFonts w:cs="Arial"/>
        </w:rPr>
        <w:t xml:space="preserve">FSANZ </w:t>
      </w:r>
      <w:r w:rsidR="00E60A86">
        <w:rPr>
          <w:rFonts w:cs="Arial"/>
        </w:rPr>
        <w:t xml:space="preserve">was aware that </w:t>
      </w:r>
      <w:r>
        <w:rPr>
          <w:rFonts w:cs="Arial"/>
        </w:rPr>
        <w:t xml:space="preserve">large companies </w:t>
      </w:r>
      <w:r w:rsidR="00E60A86">
        <w:rPr>
          <w:rFonts w:cs="Arial"/>
        </w:rPr>
        <w:t xml:space="preserve">in both countries operated </w:t>
      </w:r>
      <w:r>
        <w:rPr>
          <w:rFonts w:cs="Arial"/>
        </w:rPr>
        <w:t>with sophisticated programs in place to identify and manage risks from CMPF. The</w:t>
      </w:r>
      <w:r w:rsidR="00D231D0">
        <w:rPr>
          <w:rFonts w:cs="Arial"/>
        </w:rPr>
        <w:t xml:space="preserve">se companies </w:t>
      </w:r>
      <w:r>
        <w:rPr>
          <w:rFonts w:cs="Arial"/>
        </w:rPr>
        <w:t>u</w:t>
      </w:r>
      <w:r w:rsidR="00D231D0">
        <w:rPr>
          <w:rFonts w:cs="Arial"/>
        </w:rPr>
        <w:t>se</w:t>
      </w:r>
      <w:r>
        <w:rPr>
          <w:rFonts w:cs="Arial"/>
        </w:rPr>
        <w:t xml:space="preserve"> existing regulations or Codes of Practice (COP) that have already been in place in the USA, EU or China for many years. This provides a unique situation in Australia and New Zealand where </w:t>
      </w:r>
      <w:r w:rsidR="00E60A86">
        <w:rPr>
          <w:rFonts w:cs="Arial"/>
        </w:rPr>
        <w:t xml:space="preserve">existing </w:t>
      </w:r>
      <w:r>
        <w:rPr>
          <w:rFonts w:cs="Arial"/>
        </w:rPr>
        <w:t>regulations provide a minimum benchmark to control CMPF.</w:t>
      </w:r>
      <w:r w:rsidR="009E20F5">
        <w:rPr>
          <w:rFonts w:cs="Arial"/>
        </w:rPr>
        <w:t xml:space="preserve"> </w:t>
      </w:r>
    </w:p>
    <w:p w14:paraId="0DF18513" w14:textId="23F11823" w:rsidR="00CD5D34" w:rsidRDefault="00CD5D34" w:rsidP="00CD5D34">
      <w:pPr>
        <w:rPr>
          <w:rFonts w:cs="Arial"/>
        </w:rPr>
      </w:pPr>
      <w:r>
        <w:rPr>
          <w:rFonts w:cs="Arial"/>
        </w:rPr>
        <w:t xml:space="preserve">For an overview of those international regulations/COPs refer to the following: </w:t>
      </w:r>
    </w:p>
    <w:p w14:paraId="3E4CC207" w14:textId="2274A970" w:rsidR="00CD5D34" w:rsidRPr="001044CF" w:rsidRDefault="00947F3E" w:rsidP="00BA50A8">
      <w:pPr>
        <w:ind w:left="567"/>
        <w:rPr>
          <w:rFonts w:cs="Arial"/>
        </w:rPr>
      </w:pPr>
      <w:hyperlink r:id="rId26" w:history="1">
        <w:r w:rsidR="00CD5D34" w:rsidRPr="003103E1">
          <w:rPr>
            <w:color w:val="0072BC"/>
            <w:szCs w:val="16"/>
            <w:lang w:val="en-US"/>
          </w:rPr>
          <w:t xml:space="preserve">International regulations </w:t>
        </w:r>
        <w:r w:rsidR="00CD5D34" w:rsidRPr="003103E1">
          <w:rPr>
            <w:rFonts w:cs="Arial"/>
            <w:color w:val="0072BC"/>
            <w:szCs w:val="16"/>
            <w:lang w:val="en-US"/>
          </w:rPr>
          <w:t>​</w:t>
        </w:r>
        <w:r w:rsidR="00CD5D34" w:rsidRPr="003103E1">
          <w:rPr>
            <w:color w:val="0072BC"/>
            <w:szCs w:val="16"/>
            <w:lang w:val="en-US"/>
          </w:rPr>
          <w:t>(pdf 146 kb)</w:t>
        </w:r>
      </w:hyperlink>
      <w:r w:rsidR="00CD5D34" w:rsidRPr="003103E1">
        <w:rPr>
          <w:color w:val="576170"/>
          <w:szCs w:val="16"/>
          <w:lang w:val="en-US"/>
        </w:rPr>
        <w:t xml:space="preserve"> | </w:t>
      </w:r>
      <w:hyperlink r:id="rId27" w:history="1">
        <w:r w:rsidR="00CD5D34" w:rsidRPr="003103E1">
          <w:rPr>
            <w:color w:val="0072BC"/>
            <w:szCs w:val="16"/>
            <w:lang w:val="en-US"/>
          </w:rPr>
          <w:t>(word 68 kb)</w:t>
        </w:r>
      </w:hyperlink>
    </w:p>
    <w:p w14:paraId="51E46B9E" w14:textId="45A257EC" w:rsidR="00CD5D34" w:rsidRPr="003103E1" w:rsidRDefault="00947F3E" w:rsidP="00BA50A8">
      <w:pPr>
        <w:ind w:left="567"/>
        <w:rPr>
          <w:color w:val="576170"/>
          <w:szCs w:val="16"/>
          <w:lang w:val="en-US"/>
        </w:rPr>
      </w:pPr>
      <w:hyperlink r:id="rId28" w:history="1">
        <w:r w:rsidR="00CD5D34" w:rsidRPr="003103E1">
          <w:rPr>
            <w:color w:val="0072BC"/>
            <w:szCs w:val="16"/>
            <w:lang w:val="en-US"/>
          </w:rPr>
          <w:t>Summary of international approaches (pdf 103 kb)</w:t>
        </w:r>
      </w:hyperlink>
      <w:r w:rsidR="00CD5D34" w:rsidRPr="003103E1">
        <w:rPr>
          <w:color w:val="576170"/>
          <w:szCs w:val="16"/>
          <w:lang w:val="en-US"/>
        </w:rPr>
        <w:t> | </w:t>
      </w:r>
      <w:hyperlink r:id="rId29" w:history="1">
        <w:r w:rsidR="00CD5D34" w:rsidRPr="003103E1">
          <w:rPr>
            <w:color w:val="0072BC"/>
            <w:szCs w:val="16"/>
            <w:lang w:val="en-US"/>
          </w:rPr>
          <w:t>(word 84 kb)</w:t>
        </w:r>
      </w:hyperlink>
    </w:p>
    <w:p w14:paraId="2B149D4B" w14:textId="706C3EAD" w:rsidR="00CD5D34" w:rsidRPr="003103E1" w:rsidRDefault="00947F3E" w:rsidP="00BA50A8">
      <w:pPr>
        <w:ind w:left="567"/>
        <w:rPr>
          <w:color w:val="576170"/>
          <w:szCs w:val="16"/>
          <w:lang w:val="en-US"/>
        </w:rPr>
      </w:pPr>
      <w:hyperlink r:id="rId30" w:history="1">
        <w:r w:rsidR="00CD5D34" w:rsidRPr="003103E1">
          <w:rPr>
            <w:color w:val="0072BC"/>
            <w:szCs w:val="16"/>
            <w:lang w:val="en-US"/>
          </w:rPr>
          <w:t>Industry st</w:t>
        </w:r>
        <w:r w:rsidR="00C03692">
          <w:rPr>
            <w:color w:val="0072BC"/>
            <w:szCs w:val="16"/>
            <w:lang w:val="en-US"/>
          </w:rPr>
          <w:t>andar</w:t>
        </w:r>
        <w:r w:rsidR="00CD5D34" w:rsidRPr="003103E1">
          <w:rPr>
            <w:color w:val="0072BC"/>
            <w:szCs w:val="16"/>
            <w:lang w:val="en-US"/>
          </w:rPr>
          <w:t xml:space="preserve">ds </w:t>
        </w:r>
        <w:r w:rsidR="00C03692">
          <w:rPr>
            <w:color w:val="0072BC"/>
            <w:szCs w:val="16"/>
            <w:lang w:val="en-US"/>
          </w:rPr>
          <w:t>&amp;</w:t>
        </w:r>
        <w:r w:rsidR="00F53D8E">
          <w:rPr>
            <w:color w:val="0072BC"/>
            <w:szCs w:val="16"/>
            <w:lang w:val="en-US"/>
          </w:rPr>
          <w:t> CO</w:t>
        </w:r>
        <w:r w:rsidR="00CD5D34" w:rsidRPr="003103E1">
          <w:rPr>
            <w:color w:val="0072BC"/>
            <w:szCs w:val="16"/>
            <w:lang w:val="en-US"/>
          </w:rPr>
          <w:t xml:space="preserve">Ps </w:t>
        </w:r>
        <w:r w:rsidR="00CD5D34" w:rsidRPr="003103E1">
          <w:rPr>
            <w:rFonts w:cs="Arial"/>
            <w:color w:val="0072BC"/>
            <w:szCs w:val="16"/>
            <w:lang w:val="en-US"/>
          </w:rPr>
          <w:t>​</w:t>
        </w:r>
        <w:r w:rsidR="00CD5D34" w:rsidRPr="003103E1">
          <w:rPr>
            <w:color w:val="0072BC"/>
            <w:szCs w:val="16"/>
            <w:lang w:val="en-US"/>
          </w:rPr>
          <w:t>(pdf 138 kb)</w:t>
        </w:r>
      </w:hyperlink>
      <w:r w:rsidR="00CD5D34" w:rsidRPr="003103E1">
        <w:rPr>
          <w:color w:val="576170"/>
          <w:szCs w:val="16"/>
          <w:lang w:val="en-US"/>
        </w:rPr>
        <w:t xml:space="preserve"> | </w:t>
      </w:r>
      <w:hyperlink r:id="rId31" w:history="1">
        <w:r w:rsidR="00CD5D34" w:rsidRPr="003103E1">
          <w:rPr>
            <w:color w:val="0072BC"/>
            <w:szCs w:val="16"/>
            <w:lang w:val="en-US"/>
          </w:rPr>
          <w:t>(word 57 kb)</w:t>
        </w:r>
      </w:hyperlink>
    </w:p>
    <w:p w14:paraId="079659EA" w14:textId="77777777" w:rsidR="00CD5D34" w:rsidRPr="001044CF" w:rsidRDefault="00CD5D34" w:rsidP="00CD5D34">
      <w:pPr>
        <w:rPr>
          <w:lang w:eastAsia="en-AU" w:bidi="ar-SA"/>
        </w:rPr>
      </w:pPr>
    </w:p>
    <w:p w14:paraId="65ABE367" w14:textId="0C6834F0" w:rsidR="00D51906" w:rsidRPr="00D51906" w:rsidRDefault="00D51906" w:rsidP="00D51906">
      <w:pPr>
        <w:rPr>
          <w:lang w:eastAsia="en-AU" w:bidi="ar-SA"/>
        </w:rPr>
      </w:pPr>
      <w:r w:rsidRPr="00D51906">
        <w:rPr>
          <w:lang w:eastAsia="en-AU" w:bidi="ar-SA"/>
        </w:rPr>
        <w:t>However, at the 2</w:t>
      </w:r>
      <w:r w:rsidRPr="00D51906">
        <w:rPr>
          <w:vertAlign w:val="superscript"/>
          <w:lang w:eastAsia="en-AU" w:bidi="ar-SA"/>
        </w:rPr>
        <w:t>nd</w:t>
      </w:r>
      <w:r w:rsidRPr="00D51906">
        <w:rPr>
          <w:lang w:eastAsia="en-AU" w:bidi="ar-SA"/>
        </w:rPr>
        <w:t xml:space="preserve"> consultation</w:t>
      </w:r>
      <w:r w:rsidR="00D231D0">
        <w:rPr>
          <w:lang w:eastAsia="en-AU" w:bidi="ar-SA"/>
        </w:rPr>
        <w:t xml:space="preserve">, </w:t>
      </w:r>
      <w:r w:rsidRPr="00D51906">
        <w:rPr>
          <w:lang w:eastAsia="en-AU" w:bidi="ar-SA"/>
        </w:rPr>
        <w:t>FSANZ identified risk management options with a view to improv</w:t>
      </w:r>
      <w:r w:rsidR="00D231D0">
        <w:rPr>
          <w:lang w:eastAsia="en-AU" w:bidi="ar-SA"/>
        </w:rPr>
        <w:t>ing</w:t>
      </w:r>
      <w:r w:rsidRPr="00D51906">
        <w:rPr>
          <w:lang w:eastAsia="en-AU" w:bidi="ar-SA"/>
        </w:rPr>
        <w:t xml:space="preserve"> the overall management of risks </w:t>
      </w:r>
      <w:r w:rsidR="00EE72EC">
        <w:rPr>
          <w:lang w:eastAsia="en-AU" w:bidi="ar-SA"/>
        </w:rPr>
        <w:t xml:space="preserve">(if required) </w:t>
      </w:r>
      <w:r w:rsidRPr="00D51906">
        <w:rPr>
          <w:lang w:eastAsia="en-AU" w:bidi="ar-SA"/>
        </w:rPr>
        <w:t>compared to the current regulatory approach.</w:t>
      </w:r>
    </w:p>
    <w:p w14:paraId="0E3FC6B4" w14:textId="77777777" w:rsidR="00D51906" w:rsidRPr="00D51906" w:rsidRDefault="00D51906" w:rsidP="00D51906">
      <w:pPr>
        <w:rPr>
          <w:lang w:eastAsia="en-AU" w:bidi="ar-SA"/>
        </w:rPr>
      </w:pPr>
    </w:p>
    <w:p w14:paraId="1530052D" w14:textId="77777777" w:rsidR="00E8036C" w:rsidRPr="00E8036C" w:rsidRDefault="00D51906" w:rsidP="00E8036C">
      <w:pPr>
        <w:rPr>
          <w:lang w:eastAsia="en-AU" w:bidi="ar-SA"/>
        </w:rPr>
      </w:pPr>
      <w:r w:rsidRPr="00D51906">
        <w:rPr>
          <w:lang w:eastAsia="en-AU" w:bidi="ar-SA"/>
        </w:rPr>
        <w:t>The options that were considered</w:t>
      </w:r>
      <w:r w:rsidR="00E8036C" w:rsidRPr="00E8036C">
        <w:rPr>
          <w:lang w:eastAsia="en-AU" w:bidi="ar-SA"/>
        </w:rPr>
        <w:t xml:space="preserve"> </w:t>
      </w:r>
      <w:r w:rsidR="00E8036C">
        <w:rPr>
          <w:lang w:eastAsia="en-AU" w:bidi="ar-SA"/>
        </w:rPr>
        <w:t>as part of a graduated risk management approach</w:t>
      </w:r>
      <w:r w:rsidRPr="00D51906">
        <w:rPr>
          <w:lang w:eastAsia="en-AU" w:bidi="ar-SA"/>
        </w:rPr>
        <w:t xml:space="preserve"> are presented </w:t>
      </w:r>
      <w:r w:rsidR="002C1950">
        <w:rPr>
          <w:lang w:eastAsia="en-AU" w:bidi="ar-SA"/>
        </w:rPr>
        <w:t>in Figure 2</w:t>
      </w:r>
      <w:r w:rsidRPr="00D51906">
        <w:rPr>
          <w:lang w:eastAsia="en-AU" w:bidi="ar-SA"/>
        </w:rPr>
        <w:t>.</w:t>
      </w:r>
      <w:r w:rsidR="009E20F5" w:rsidRPr="00D51906">
        <w:rPr>
          <w:lang w:eastAsia="en-AU" w:bidi="ar-SA"/>
        </w:rPr>
        <w:t xml:space="preserve"> </w:t>
      </w:r>
      <w:r w:rsidR="00E8036C" w:rsidRPr="00E8036C">
        <w:rPr>
          <w:lang w:eastAsia="en-AU" w:bidi="ar-SA"/>
        </w:rPr>
        <w:t>For FSANZ’s full considerations of the above four options in Figure 2, see pages 11 to 19 of the June 2016 consultation paper</w:t>
      </w:r>
      <w:r w:rsidR="00E8036C" w:rsidRPr="00E8036C">
        <w:rPr>
          <w:vertAlign w:val="superscript"/>
          <w:lang w:eastAsia="en-AU" w:bidi="ar-SA"/>
        </w:rPr>
        <w:footnoteReference w:id="6"/>
      </w:r>
      <w:r w:rsidR="00E8036C" w:rsidRPr="00E8036C">
        <w:rPr>
          <w:lang w:eastAsia="en-AU" w:bidi="ar-SA"/>
        </w:rPr>
        <w:t xml:space="preserve">. </w:t>
      </w:r>
    </w:p>
    <w:p w14:paraId="621B4147" w14:textId="77777777" w:rsidR="000A1A75" w:rsidRDefault="000A1A75" w:rsidP="00D51906">
      <w:pPr>
        <w:rPr>
          <w:lang w:eastAsia="en-AU" w:bidi="ar-SA"/>
        </w:rPr>
      </w:pPr>
    </w:p>
    <w:p w14:paraId="202F0071" w14:textId="2C7B9D30" w:rsidR="003103E1" w:rsidRPr="00D51906" w:rsidRDefault="003103E1" w:rsidP="00D51906">
      <w:pPr>
        <w:rPr>
          <w:lang w:eastAsia="en-AU" w:bidi="ar-SA"/>
        </w:rPr>
      </w:pPr>
    </w:p>
    <w:p w14:paraId="20C7E410" w14:textId="46919F48" w:rsidR="00D51906" w:rsidRPr="00D51906" w:rsidRDefault="009E20F5" w:rsidP="00D51906">
      <w:pPr>
        <w:rPr>
          <w:lang w:eastAsia="en-AU" w:bidi="ar-SA"/>
        </w:rPr>
      </w:pPr>
      <w:r w:rsidRPr="00D51906">
        <w:rPr>
          <w:lang w:eastAsia="en-AU" w:bidi="ar-SA"/>
        </w:rPr>
        <w:object w:dxaOrig="15871" w:dyaOrig="6375" w14:anchorId="15F7F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igure describes a numbe rof optiosn that were considered by FSANZ under a graduated approach. " style="width:451.75pt;height:182.9pt" o:ole="">
            <v:imagedata r:id="rId32" o:title=""/>
          </v:shape>
          <o:OLEObject Type="Embed" ProgID="Visio.Drawing.15" ShapeID="_x0000_i1025" DrawAspect="Content" ObjectID="_1568795218" r:id="rId33"/>
        </w:object>
      </w:r>
    </w:p>
    <w:p w14:paraId="7C56CE73" w14:textId="77777777" w:rsidR="007439D5" w:rsidRDefault="007439D5" w:rsidP="00D51906">
      <w:pPr>
        <w:rPr>
          <w:lang w:eastAsia="en-AU" w:bidi="ar-SA"/>
        </w:rPr>
      </w:pPr>
    </w:p>
    <w:p w14:paraId="2F84FBFA" w14:textId="67AA2933" w:rsidR="00D51906" w:rsidRPr="00BA50A8" w:rsidRDefault="007439D5" w:rsidP="007439D5">
      <w:pPr>
        <w:pStyle w:val="FSFigureTitle"/>
        <w:rPr>
          <w:b/>
          <w:lang w:eastAsia="en-AU" w:bidi="ar-SA"/>
        </w:rPr>
      </w:pPr>
      <w:r w:rsidRPr="00BA50A8">
        <w:rPr>
          <w:b/>
          <w:lang w:eastAsia="en-AU" w:bidi="ar-SA"/>
        </w:rPr>
        <w:t>Figure 2: The graduated risk management approach.</w:t>
      </w:r>
    </w:p>
    <w:p w14:paraId="1BC36836" w14:textId="77777777" w:rsidR="00D51906" w:rsidRPr="00D51906" w:rsidRDefault="00D51906" w:rsidP="00D51906">
      <w:pPr>
        <w:rPr>
          <w:u w:val="single"/>
          <w:lang w:eastAsia="en-AU" w:bidi="ar-SA"/>
        </w:rPr>
      </w:pPr>
    </w:p>
    <w:p w14:paraId="38B7B270" w14:textId="77777777" w:rsidR="00D51906" w:rsidRPr="00D51906" w:rsidRDefault="00D51906" w:rsidP="00D51906">
      <w:pPr>
        <w:rPr>
          <w:u w:val="single"/>
          <w:lang w:eastAsia="en-AU" w:bidi="ar-SA"/>
        </w:rPr>
      </w:pPr>
    </w:p>
    <w:p w14:paraId="7A45342C" w14:textId="15944DDE" w:rsidR="00D51906" w:rsidRPr="00D51906" w:rsidRDefault="00D51906" w:rsidP="00D51906">
      <w:pPr>
        <w:rPr>
          <w:lang w:eastAsia="en-AU" w:bidi="ar-SA"/>
        </w:rPr>
      </w:pPr>
      <w:r w:rsidRPr="00D51906">
        <w:rPr>
          <w:lang w:eastAsia="en-AU" w:bidi="ar-SA"/>
        </w:rPr>
        <w:t>FSANZ’s assessment</w:t>
      </w:r>
      <w:r w:rsidR="00082EBC">
        <w:rPr>
          <w:lang w:eastAsia="en-AU" w:bidi="ar-SA"/>
        </w:rPr>
        <w:t>,</w:t>
      </w:r>
      <w:r w:rsidRPr="00D51906">
        <w:rPr>
          <w:lang w:eastAsia="en-AU" w:bidi="ar-SA"/>
        </w:rPr>
        <w:t xml:space="preserve"> based on the information currently available and the public submissions received</w:t>
      </w:r>
      <w:r w:rsidR="00082EBC">
        <w:rPr>
          <w:lang w:eastAsia="en-AU" w:bidi="ar-SA"/>
        </w:rPr>
        <w:t>,</w:t>
      </w:r>
      <w:r w:rsidRPr="00D51906">
        <w:rPr>
          <w:lang w:eastAsia="en-AU" w:bidi="ar-SA"/>
        </w:rPr>
        <w:t xml:space="preserve"> was that </w:t>
      </w:r>
      <w:r w:rsidR="00F53D8E">
        <w:rPr>
          <w:lang w:eastAsia="en-AU" w:bidi="ar-SA"/>
        </w:rPr>
        <w:t xml:space="preserve">the </w:t>
      </w:r>
      <w:r w:rsidRPr="00F53D8E">
        <w:rPr>
          <w:lang w:eastAsia="en-AU" w:bidi="ar-SA"/>
        </w:rPr>
        <w:t>graduated approach</w:t>
      </w:r>
      <w:r w:rsidRPr="00D51906">
        <w:rPr>
          <w:lang w:eastAsia="en-AU" w:bidi="ar-SA"/>
        </w:rPr>
        <w:t xml:space="preserve"> </w:t>
      </w:r>
      <w:r w:rsidR="00D9210A">
        <w:rPr>
          <w:lang w:eastAsia="en-AU" w:bidi="ar-SA"/>
        </w:rPr>
        <w:t>would be the most effective</w:t>
      </w:r>
      <w:r w:rsidRPr="00D51906">
        <w:rPr>
          <w:lang w:eastAsia="en-AU" w:bidi="ar-SA"/>
        </w:rPr>
        <w:t xml:space="preserve"> of the four options available. </w:t>
      </w:r>
    </w:p>
    <w:p w14:paraId="2252B480" w14:textId="77777777" w:rsidR="003B5594" w:rsidRDefault="003B5594" w:rsidP="00D51906">
      <w:pPr>
        <w:rPr>
          <w:lang w:eastAsia="en-AU" w:bidi="ar-SA"/>
        </w:rPr>
      </w:pPr>
    </w:p>
    <w:p w14:paraId="3C11DF7B" w14:textId="09671285" w:rsidR="00D51906" w:rsidRPr="00D51906" w:rsidRDefault="00F53D8E" w:rsidP="00D51906">
      <w:pPr>
        <w:rPr>
          <w:lang w:eastAsia="en-AU" w:bidi="ar-SA"/>
        </w:rPr>
      </w:pPr>
      <w:r>
        <w:rPr>
          <w:lang w:eastAsia="en-AU" w:bidi="ar-SA"/>
        </w:rPr>
        <w:t>The graduated approach</w:t>
      </w:r>
      <w:r w:rsidR="00D51906" w:rsidRPr="00D51906">
        <w:rPr>
          <w:lang w:eastAsia="en-AU" w:bidi="ar-SA"/>
        </w:rPr>
        <w:t xml:space="preserve"> would enable low and high risk chemicals to be addressed separately. Low risk chemicals would be managed </w:t>
      </w:r>
      <w:r w:rsidR="00EE72EC">
        <w:rPr>
          <w:lang w:eastAsia="en-AU" w:bidi="ar-SA"/>
        </w:rPr>
        <w:t>by using</w:t>
      </w:r>
      <w:r w:rsidR="00D51906" w:rsidRPr="00D51906">
        <w:rPr>
          <w:lang w:eastAsia="en-AU" w:bidi="ar-SA"/>
        </w:rPr>
        <w:t xml:space="preserve"> voluntary industry guidelines or greater record keeping and audit requirements under either a guideline and/or </w:t>
      </w:r>
      <w:r w:rsidR="002C1950">
        <w:rPr>
          <w:lang w:eastAsia="en-AU" w:bidi="ar-SA"/>
        </w:rPr>
        <w:t xml:space="preserve">amending </w:t>
      </w:r>
      <w:r w:rsidR="00D51906" w:rsidRPr="00D51906">
        <w:rPr>
          <w:lang w:eastAsia="en-AU" w:bidi="ar-SA"/>
        </w:rPr>
        <w:t xml:space="preserve">current requirements in the Code. High risk chemicals will be managed through a regulatory approach (e.g. setting </w:t>
      </w:r>
      <w:r w:rsidR="00D9210A">
        <w:rPr>
          <w:lang w:eastAsia="en-AU" w:bidi="ar-SA"/>
        </w:rPr>
        <w:t>MLs</w:t>
      </w:r>
      <w:r w:rsidR="00D51906" w:rsidRPr="00D51906">
        <w:rPr>
          <w:lang w:eastAsia="en-AU" w:bidi="ar-SA"/>
        </w:rPr>
        <w:t xml:space="preserve">). </w:t>
      </w:r>
    </w:p>
    <w:p w14:paraId="14B74036" w14:textId="77777777" w:rsidR="00D51906" w:rsidRPr="00D51906" w:rsidRDefault="00D51906" w:rsidP="00D51906">
      <w:pPr>
        <w:rPr>
          <w:lang w:eastAsia="en-AU" w:bidi="ar-SA"/>
        </w:rPr>
      </w:pPr>
    </w:p>
    <w:p w14:paraId="3CA7F325" w14:textId="0E8D8C74" w:rsidR="00D51906" w:rsidRDefault="00D9210A" w:rsidP="00CD5D34">
      <w:pPr>
        <w:rPr>
          <w:lang w:eastAsia="en-AU" w:bidi="ar-SA"/>
        </w:rPr>
      </w:pPr>
      <w:r>
        <w:rPr>
          <w:lang w:eastAsia="en-AU" w:bidi="ar-SA"/>
        </w:rPr>
        <w:t>Based on</w:t>
      </w:r>
      <w:r w:rsidRPr="00D51906">
        <w:rPr>
          <w:lang w:eastAsia="en-AU" w:bidi="ar-SA"/>
        </w:rPr>
        <w:t xml:space="preserve"> </w:t>
      </w:r>
      <w:r w:rsidR="00D51906" w:rsidRPr="00D51906">
        <w:rPr>
          <w:lang w:eastAsia="en-AU" w:bidi="ar-SA"/>
        </w:rPr>
        <w:t xml:space="preserve">the risk </w:t>
      </w:r>
      <w:r>
        <w:rPr>
          <w:lang w:eastAsia="en-AU" w:bidi="ar-SA"/>
        </w:rPr>
        <w:t>assessment</w:t>
      </w:r>
      <w:r w:rsidRPr="00D51906">
        <w:rPr>
          <w:lang w:eastAsia="en-AU" w:bidi="ar-SA"/>
        </w:rPr>
        <w:t xml:space="preserve"> </w:t>
      </w:r>
      <w:r w:rsidR="00D51906" w:rsidRPr="00D51906">
        <w:rPr>
          <w:lang w:eastAsia="en-AU" w:bidi="ar-SA"/>
        </w:rPr>
        <w:t>work</w:t>
      </w:r>
      <w:r>
        <w:rPr>
          <w:lang w:eastAsia="en-AU" w:bidi="ar-SA"/>
        </w:rPr>
        <w:t>,</w:t>
      </w:r>
      <w:r w:rsidR="00D51906" w:rsidRPr="00D51906">
        <w:rPr>
          <w:lang w:eastAsia="en-AU" w:bidi="ar-SA"/>
        </w:rPr>
        <w:t xml:space="preserve"> FSANZ </w:t>
      </w:r>
      <w:r>
        <w:rPr>
          <w:lang w:eastAsia="en-AU" w:bidi="ar-SA"/>
        </w:rPr>
        <w:t>did</w:t>
      </w:r>
      <w:r w:rsidRPr="00D51906">
        <w:rPr>
          <w:lang w:eastAsia="en-AU" w:bidi="ar-SA"/>
        </w:rPr>
        <w:t xml:space="preserve"> </w:t>
      </w:r>
      <w:r w:rsidR="00D51906" w:rsidRPr="00D51906">
        <w:rPr>
          <w:lang w:eastAsia="en-AU" w:bidi="ar-SA"/>
        </w:rPr>
        <w:t xml:space="preserve">not </w:t>
      </w:r>
      <w:r w:rsidRPr="00D51906">
        <w:rPr>
          <w:lang w:eastAsia="en-AU" w:bidi="ar-SA"/>
        </w:rPr>
        <w:t>identif</w:t>
      </w:r>
      <w:r>
        <w:rPr>
          <w:lang w:eastAsia="en-AU" w:bidi="ar-SA"/>
        </w:rPr>
        <w:t>y</w:t>
      </w:r>
      <w:r w:rsidRPr="00D51906">
        <w:rPr>
          <w:lang w:eastAsia="en-AU" w:bidi="ar-SA"/>
        </w:rPr>
        <w:t xml:space="preserve"> </w:t>
      </w:r>
      <w:r w:rsidR="00D51906" w:rsidRPr="00D51906">
        <w:rPr>
          <w:lang w:eastAsia="en-AU" w:bidi="ar-SA"/>
        </w:rPr>
        <w:t>any chemicals that meet the criteria for a high risk chemical nor any evidence that the C</w:t>
      </w:r>
      <w:r w:rsidR="00670538">
        <w:rPr>
          <w:lang w:eastAsia="en-AU" w:bidi="ar-SA"/>
        </w:rPr>
        <w:t xml:space="preserve">ode needs to be strengthened.  </w:t>
      </w:r>
    </w:p>
    <w:p w14:paraId="5216C2BF" w14:textId="744400B5" w:rsidR="00BB1395" w:rsidRDefault="00BB1395" w:rsidP="00BB1395">
      <w:pPr>
        <w:pStyle w:val="Heading3"/>
      </w:pPr>
      <w:bookmarkStart w:id="69" w:name="_Toc493774534"/>
      <w:r>
        <w:t>2.</w:t>
      </w:r>
      <w:r w:rsidR="001D711A">
        <w:t>3</w:t>
      </w:r>
      <w:r w:rsidR="007D5427">
        <w:t>.4</w:t>
      </w:r>
      <w:r w:rsidR="007D5427">
        <w:tab/>
      </w:r>
      <w:r>
        <w:t>Non-regulatory risk management</w:t>
      </w:r>
      <w:r w:rsidR="00D74746">
        <w:t xml:space="preserve"> </w:t>
      </w:r>
      <w:r>
        <w:t>-</w:t>
      </w:r>
      <w:r w:rsidR="007439D5">
        <w:t xml:space="preserve"> the</w:t>
      </w:r>
      <w:r>
        <w:t xml:space="preserve"> food packaging information guide</w:t>
      </w:r>
      <w:bookmarkEnd w:id="69"/>
    </w:p>
    <w:p w14:paraId="415E822C" w14:textId="4F6D88B0" w:rsidR="00501F90" w:rsidRDefault="00501F90" w:rsidP="00501F90">
      <w:pPr>
        <w:rPr>
          <w:lang w:val="en-AU" w:eastAsia="en-AU" w:bidi="ar-SA"/>
        </w:rPr>
      </w:pPr>
      <w:r>
        <w:rPr>
          <w:lang w:val="en-AU" w:eastAsia="en-AU" w:bidi="ar-SA"/>
        </w:rPr>
        <w:t xml:space="preserve">Stakeholder consultation for P1034 </w:t>
      </w:r>
      <w:r w:rsidRPr="00501F90">
        <w:rPr>
          <w:lang w:val="en-AU" w:eastAsia="en-AU" w:bidi="ar-SA"/>
        </w:rPr>
        <w:t xml:space="preserve">identified </w:t>
      </w:r>
      <w:r>
        <w:rPr>
          <w:lang w:val="en-AU" w:eastAsia="en-AU" w:bidi="ar-SA"/>
        </w:rPr>
        <w:t>g</w:t>
      </w:r>
      <w:r w:rsidRPr="00501F90">
        <w:rPr>
          <w:lang w:val="en-AU" w:eastAsia="en-AU" w:bidi="ar-SA"/>
        </w:rPr>
        <w:t xml:space="preserve">aps in industry awareness of the control measures needed for CMPF, mainly for small-to-medium enterprises (SMEs). </w:t>
      </w:r>
      <w:r>
        <w:rPr>
          <w:lang w:val="en-AU" w:eastAsia="en-AU" w:bidi="ar-SA"/>
        </w:rPr>
        <w:t>Therefore, development of a f</w:t>
      </w:r>
      <w:r w:rsidRPr="00501F90">
        <w:rPr>
          <w:lang w:val="en-AU" w:eastAsia="en-AU" w:bidi="ar-SA"/>
        </w:rPr>
        <w:t xml:space="preserve">ood </w:t>
      </w:r>
      <w:r>
        <w:rPr>
          <w:lang w:val="en-AU" w:eastAsia="en-AU" w:bidi="ar-SA"/>
        </w:rPr>
        <w:t>packaging i</w:t>
      </w:r>
      <w:r w:rsidRPr="00501F90">
        <w:rPr>
          <w:lang w:val="en-AU" w:eastAsia="en-AU" w:bidi="ar-SA"/>
        </w:rPr>
        <w:t xml:space="preserve">nformation </w:t>
      </w:r>
      <w:r>
        <w:rPr>
          <w:lang w:val="en-AU" w:eastAsia="en-AU" w:bidi="ar-SA"/>
        </w:rPr>
        <w:t>g</w:t>
      </w:r>
      <w:r w:rsidRPr="00501F90">
        <w:rPr>
          <w:lang w:val="en-AU" w:eastAsia="en-AU" w:bidi="ar-SA"/>
        </w:rPr>
        <w:t xml:space="preserve">uide was proposed as a </w:t>
      </w:r>
      <w:r w:rsidR="00EE72EC">
        <w:rPr>
          <w:lang w:val="en-AU" w:eastAsia="en-AU" w:bidi="ar-SA"/>
        </w:rPr>
        <w:br/>
      </w:r>
      <w:r w:rsidRPr="00501F90">
        <w:rPr>
          <w:lang w:val="en-AU" w:eastAsia="en-AU" w:bidi="ar-SA"/>
        </w:rPr>
        <w:t>non-regulatory risk management approach</w:t>
      </w:r>
      <w:r w:rsidR="007D5427">
        <w:rPr>
          <w:lang w:val="en-AU" w:eastAsia="en-AU" w:bidi="ar-SA"/>
        </w:rPr>
        <w:t xml:space="preserve">. Development of the guide </w:t>
      </w:r>
      <w:r w:rsidRPr="00501F90">
        <w:rPr>
          <w:lang w:val="en-AU" w:eastAsia="en-AU" w:bidi="ar-SA"/>
        </w:rPr>
        <w:t xml:space="preserve">was supported in submissions received </w:t>
      </w:r>
      <w:r>
        <w:rPr>
          <w:lang w:val="en-AU" w:eastAsia="en-AU" w:bidi="ar-SA"/>
        </w:rPr>
        <w:t>to the 2</w:t>
      </w:r>
      <w:r w:rsidRPr="00501F90">
        <w:rPr>
          <w:vertAlign w:val="superscript"/>
          <w:lang w:val="en-AU" w:eastAsia="en-AU" w:bidi="ar-SA"/>
        </w:rPr>
        <w:t>nd</w:t>
      </w:r>
      <w:r>
        <w:rPr>
          <w:lang w:val="en-AU" w:eastAsia="en-AU" w:bidi="ar-SA"/>
        </w:rPr>
        <w:t xml:space="preserve"> Call for Submissions paper. </w:t>
      </w:r>
      <w:r w:rsidRPr="00501F90">
        <w:rPr>
          <w:lang w:val="en-AU" w:eastAsia="en-AU" w:bidi="ar-SA"/>
        </w:rPr>
        <w:t xml:space="preserve">Provision of information is a function of FSANZ under the </w:t>
      </w:r>
      <w:r w:rsidRPr="00501F90">
        <w:rPr>
          <w:i/>
          <w:lang w:val="en-AU" w:eastAsia="en-AU" w:bidi="ar-SA"/>
        </w:rPr>
        <w:t>Food Standards Australia New Zealand Act 1991</w:t>
      </w:r>
      <w:r w:rsidRPr="00501F90">
        <w:rPr>
          <w:lang w:val="en-AU" w:eastAsia="en-AU" w:bidi="ar-SA"/>
        </w:rPr>
        <w:t>.</w:t>
      </w:r>
    </w:p>
    <w:p w14:paraId="1F512398" w14:textId="77777777" w:rsidR="00501F90" w:rsidRPr="00501F90" w:rsidRDefault="00501F90" w:rsidP="00501F90">
      <w:pPr>
        <w:rPr>
          <w:lang w:val="en-AU" w:eastAsia="en-AU" w:bidi="ar-SA"/>
        </w:rPr>
      </w:pPr>
    </w:p>
    <w:p w14:paraId="41636E82" w14:textId="6C83EBCC" w:rsidR="00D51906" w:rsidRDefault="00501F90" w:rsidP="004E6B1B">
      <w:pPr>
        <w:rPr>
          <w:lang w:eastAsia="en-AU" w:bidi="ar-SA"/>
        </w:rPr>
      </w:pPr>
      <w:r>
        <w:rPr>
          <w:lang w:val="en-AU" w:eastAsia="en-AU" w:bidi="ar-SA"/>
        </w:rPr>
        <w:t xml:space="preserve">To improve awareness and knowledge about CMPF, </w:t>
      </w:r>
      <w:r w:rsidRPr="00501F90">
        <w:rPr>
          <w:lang w:val="en-AU" w:eastAsia="en-AU" w:bidi="ar-SA"/>
        </w:rPr>
        <w:t xml:space="preserve">FSANZ </w:t>
      </w:r>
      <w:r w:rsidR="00D062C8">
        <w:rPr>
          <w:lang w:val="en-AU" w:eastAsia="en-AU" w:bidi="ar-SA"/>
        </w:rPr>
        <w:t>plans</w:t>
      </w:r>
      <w:r>
        <w:rPr>
          <w:lang w:val="en-AU" w:eastAsia="en-AU" w:bidi="ar-SA"/>
        </w:rPr>
        <w:t xml:space="preserve"> </w:t>
      </w:r>
      <w:r w:rsidR="00D062C8">
        <w:rPr>
          <w:lang w:val="en-AU" w:eastAsia="en-AU" w:bidi="ar-SA"/>
        </w:rPr>
        <w:t xml:space="preserve">to develop a </w:t>
      </w:r>
      <w:r>
        <w:rPr>
          <w:lang w:val="en-AU" w:eastAsia="en-AU" w:bidi="ar-SA"/>
        </w:rPr>
        <w:t xml:space="preserve">food packaging information guide </w:t>
      </w:r>
      <w:r w:rsidR="00F53D8E">
        <w:rPr>
          <w:lang w:val="en-AU" w:eastAsia="en-AU" w:bidi="ar-SA"/>
        </w:rPr>
        <w:t>to</w:t>
      </w:r>
      <w:r w:rsidR="00F53D8E" w:rsidRPr="00F53D8E">
        <w:rPr>
          <w:lang w:eastAsia="en-AU" w:bidi="ar-SA"/>
        </w:rPr>
        <w:t xml:space="preserve"> provide a consolidated and comprehensive source of information for industry, address the gaps in awareness and knowledge for SMEs, provide  general information on safety issues with CMPF for consumers, and describe the obligations on food businesses (particularly SMEs) to use safe packaging materials.</w:t>
      </w:r>
      <w:r w:rsidR="00F53D8E">
        <w:rPr>
          <w:lang w:eastAsia="en-AU" w:bidi="ar-SA"/>
        </w:rPr>
        <w:t xml:space="preserve"> </w:t>
      </w:r>
    </w:p>
    <w:p w14:paraId="5F3417DA" w14:textId="77777777" w:rsidR="004E6B1B" w:rsidRPr="00D51906" w:rsidRDefault="004E6B1B" w:rsidP="004E6B1B">
      <w:pPr>
        <w:rPr>
          <w:b/>
          <w:lang w:eastAsia="en-AU" w:bidi="ar-SA"/>
        </w:rPr>
      </w:pPr>
    </w:p>
    <w:p w14:paraId="12537950" w14:textId="6D64EF68" w:rsidR="00D51906" w:rsidRDefault="00BF2D7D" w:rsidP="00D51906">
      <w:pPr>
        <w:rPr>
          <w:b/>
          <w:lang w:eastAsia="en-AU" w:bidi="ar-SA"/>
        </w:rPr>
      </w:pPr>
      <w:r>
        <w:rPr>
          <w:lang w:val="en-AU" w:eastAsia="en-AU" w:bidi="ar-SA"/>
        </w:rPr>
        <w:t>Modules to be included in the guide are</w:t>
      </w:r>
      <w:r w:rsidR="00D062C8" w:rsidRPr="007439D5">
        <w:rPr>
          <w:lang w:val="en-AU" w:eastAsia="en-AU" w:bidi="ar-SA"/>
        </w:rPr>
        <w:t xml:space="preserve"> shown in Figure </w:t>
      </w:r>
      <w:r w:rsidR="007439D5">
        <w:rPr>
          <w:lang w:val="en-AU" w:eastAsia="en-AU" w:bidi="ar-SA"/>
        </w:rPr>
        <w:t>3</w:t>
      </w:r>
      <w:r w:rsidR="00D062C8" w:rsidRPr="007439D5">
        <w:rPr>
          <w:lang w:val="en-AU" w:eastAsia="en-AU" w:bidi="ar-SA"/>
        </w:rPr>
        <w:t>. It is envisaged that</w:t>
      </w:r>
      <w:r>
        <w:rPr>
          <w:lang w:val="en-AU" w:eastAsia="en-AU" w:bidi="ar-SA"/>
        </w:rPr>
        <w:t xml:space="preserve"> these will be </w:t>
      </w:r>
      <w:r w:rsidR="00D062C8" w:rsidRPr="007439D5">
        <w:rPr>
          <w:lang w:val="en-AU" w:eastAsia="en-AU" w:bidi="ar-SA"/>
        </w:rPr>
        <w:t>access</w:t>
      </w:r>
      <w:r w:rsidR="007439D5" w:rsidRPr="007439D5">
        <w:rPr>
          <w:lang w:val="en-AU" w:eastAsia="en-AU" w:bidi="ar-SA"/>
        </w:rPr>
        <w:t>ed</w:t>
      </w:r>
      <w:r w:rsidR="00D062C8" w:rsidRPr="007439D5">
        <w:rPr>
          <w:lang w:val="en-AU" w:eastAsia="en-AU" w:bidi="ar-SA"/>
        </w:rPr>
        <w:t xml:space="preserve"> through the FSANZ</w:t>
      </w:r>
      <w:r w:rsidR="007439D5" w:rsidRPr="007439D5">
        <w:rPr>
          <w:lang w:val="en-AU" w:eastAsia="en-AU" w:bidi="ar-SA"/>
        </w:rPr>
        <w:t xml:space="preserve"> </w:t>
      </w:r>
      <w:r w:rsidR="00D062C8" w:rsidRPr="007439D5">
        <w:rPr>
          <w:lang w:val="en-AU" w:eastAsia="en-AU" w:bidi="ar-SA"/>
        </w:rPr>
        <w:t>website</w:t>
      </w:r>
      <w:r w:rsidR="007439D5" w:rsidRPr="007439D5">
        <w:rPr>
          <w:lang w:val="en-AU" w:eastAsia="en-AU" w:bidi="ar-SA"/>
        </w:rPr>
        <w:t xml:space="preserve">. </w:t>
      </w:r>
      <w:r w:rsidR="007439D5">
        <w:rPr>
          <w:lang w:val="en-AU" w:eastAsia="en-AU" w:bidi="ar-SA"/>
        </w:rPr>
        <w:t>D</w:t>
      </w:r>
      <w:r w:rsidR="007439D5" w:rsidRPr="007439D5">
        <w:rPr>
          <w:lang w:val="en-AU" w:eastAsia="en-AU" w:bidi="ar-SA"/>
        </w:rPr>
        <w:t>evelopment of the information</w:t>
      </w:r>
      <w:r w:rsidR="00D062C8" w:rsidRPr="007439D5">
        <w:rPr>
          <w:lang w:val="en-AU" w:eastAsia="en-AU" w:bidi="ar-SA"/>
        </w:rPr>
        <w:t xml:space="preserve"> </w:t>
      </w:r>
      <w:r w:rsidR="007439D5" w:rsidRPr="007439D5">
        <w:rPr>
          <w:lang w:val="en-AU" w:eastAsia="en-AU" w:bidi="ar-SA"/>
        </w:rPr>
        <w:t>guide will be progressed by FSANZ in a separat</w:t>
      </w:r>
      <w:r w:rsidR="007439D5">
        <w:rPr>
          <w:lang w:val="en-AU" w:eastAsia="en-AU" w:bidi="ar-SA"/>
        </w:rPr>
        <w:t xml:space="preserve">e project on food packaging, after </w:t>
      </w:r>
      <w:r w:rsidR="00EE72EC">
        <w:rPr>
          <w:lang w:val="en-AU" w:eastAsia="en-AU" w:bidi="ar-SA"/>
        </w:rPr>
        <w:t>P</w:t>
      </w:r>
      <w:r w:rsidR="007439D5">
        <w:rPr>
          <w:lang w:val="en-AU" w:eastAsia="en-AU" w:bidi="ar-SA"/>
        </w:rPr>
        <w:t>roposal P1034</w:t>
      </w:r>
      <w:r w:rsidR="00EE72EC">
        <w:rPr>
          <w:lang w:val="en-AU" w:eastAsia="en-AU" w:bidi="ar-SA"/>
        </w:rPr>
        <w:t xml:space="preserve"> is completed</w:t>
      </w:r>
      <w:r w:rsidR="007439D5">
        <w:rPr>
          <w:lang w:val="en-AU" w:eastAsia="en-AU" w:bidi="ar-SA"/>
        </w:rPr>
        <w:t>.</w:t>
      </w:r>
      <w:r w:rsidR="009E20F5" w:rsidRPr="00D51906">
        <w:rPr>
          <w:b/>
          <w:lang w:eastAsia="en-AU" w:bidi="ar-SA"/>
        </w:rPr>
        <w:t xml:space="preserve"> </w:t>
      </w:r>
    </w:p>
    <w:p w14:paraId="79E8680E" w14:textId="77777777" w:rsidR="00EE72EC" w:rsidRPr="00D51906" w:rsidRDefault="00EE72EC" w:rsidP="00D51906">
      <w:pPr>
        <w:rPr>
          <w:b/>
          <w:lang w:eastAsia="en-AU" w:bidi="ar-SA"/>
        </w:rPr>
      </w:pPr>
    </w:p>
    <w:p w14:paraId="2761B3A0" w14:textId="6F5965A4" w:rsidR="00D51906" w:rsidRDefault="00D51906" w:rsidP="007439D5">
      <w:pPr>
        <w:jc w:val="center"/>
        <w:rPr>
          <w:b/>
          <w:lang w:eastAsia="en-AU" w:bidi="ar-SA"/>
        </w:rPr>
      </w:pPr>
      <w:r w:rsidRPr="00D51906">
        <w:rPr>
          <w:noProof/>
          <w:lang w:eastAsia="en-GB" w:bidi="ar-SA"/>
        </w:rPr>
        <w:drawing>
          <wp:inline distT="0" distB="0" distL="0" distR="0" wp14:anchorId="550523BB" wp14:editId="0073D8B8">
            <wp:extent cx="4213076" cy="3062132"/>
            <wp:effectExtent l="0" t="0" r="0" b="5080"/>
            <wp:docPr id="3" name="Picture 2" descr="This figure outlines the various modules that FSANZ may consider in its information for the Packaging Information Guide. This will be available on FSANZ's website. " title="Modules for the packaging Information Gui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222928" cy="3069293"/>
                    </a:xfrm>
                    <a:prstGeom prst="rect">
                      <a:avLst/>
                    </a:prstGeom>
                    <a:noFill/>
                    <a:ln>
                      <a:noFill/>
                    </a:ln>
                    <a:effectLst/>
                    <a:extLst/>
                  </pic:spPr>
                </pic:pic>
              </a:graphicData>
            </a:graphic>
          </wp:inline>
        </w:drawing>
      </w:r>
    </w:p>
    <w:p w14:paraId="4E5A0AB3" w14:textId="77777777" w:rsidR="007439D5" w:rsidRDefault="007439D5" w:rsidP="007439D5">
      <w:pPr>
        <w:jc w:val="center"/>
        <w:rPr>
          <w:b/>
          <w:lang w:eastAsia="en-AU" w:bidi="ar-SA"/>
        </w:rPr>
      </w:pPr>
    </w:p>
    <w:p w14:paraId="70B8C41D" w14:textId="74CCEC60" w:rsidR="007439D5" w:rsidRPr="00BA50A8" w:rsidRDefault="007439D5" w:rsidP="007439D5">
      <w:pPr>
        <w:pStyle w:val="FSFigureTitle"/>
        <w:rPr>
          <w:b/>
          <w:lang w:eastAsia="en-AU" w:bidi="ar-SA"/>
        </w:rPr>
      </w:pPr>
      <w:r w:rsidRPr="00BA50A8">
        <w:rPr>
          <w:b/>
          <w:lang w:eastAsia="en-AU" w:bidi="ar-SA"/>
        </w:rPr>
        <w:t xml:space="preserve">Figure 3 </w:t>
      </w:r>
      <w:r w:rsidR="00BF2D7D" w:rsidRPr="00BA50A8">
        <w:rPr>
          <w:b/>
          <w:lang w:eastAsia="en-AU" w:bidi="ar-SA"/>
        </w:rPr>
        <w:t>Modules for</w:t>
      </w:r>
      <w:r w:rsidRPr="00BA50A8">
        <w:rPr>
          <w:b/>
          <w:lang w:eastAsia="en-AU" w:bidi="ar-SA"/>
        </w:rPr>
        <w:t xml:space="preserve"> the food packaging information guide</w:t>
      </w:r>
    </w:p>
    <w:p w14:paraId="3B321618" w14:textId="1DBE9190" w:rsidR="00D74746" w:rsidRDefault="004C19A6" w:rsidP="001D711A">
      <w:pPr>
        <w:pStyle w:val="Heading3"/>
      </w:pPr>
      <w:bookmarkStart w:id="70" w:name="_Toc493774535"/>
      <w:r>
        <w:t>2.</w:t>
      </w:r>
      <w:r w:rsidR="001D711A">
        <w:t>3.5</w:t>
      </w:r>
      <w:r w:rsidR="00CD5D34">
        <w:tab/>
      </w:r>
      <w:r w:rsidR="007D221B">
        <w:t>Conclusion</w:t>
      </w:r>
      <w:bookmarkEnd w:id="70"/>
    </w:p>
    <w:p w14:paraId="4913EB4A" w14:textId="3C749D2A" w:rsidR="00E97DBA" w:rsidRDefault="00231912" w:rsidP="00AD3F0B">
      <w:r>
        <w:t xml:space="preserve">FSANZ decided </w:t>
      </w:r>
      <w:r w:rsidR="00E97DBA" w:rsidRPr="00705A66">
        <w:t>to abandon P</w:t>
      </w:r>
      <w:r w:rsidR="00E97DBA">
        <w:t>1034.</w:t>
      </w:r>
      <w:r>
        <w:t xml:space="preserve"> That is, </w:t>
      </w:r>
      <w:r w:rsidR="0052240D">
        <w:t xml:space="preserve">the </w:t>
      </w:r>
      <w:r>
        <w:t xml:space="preserve">development of a food regulatory measure was not warranted. </w:t>
      </w:r>
      <w:r w:rsidR="00E97DBA">
        <w:t xml:space="preserve">This decision was taken after </w:t>
      </w:r>
      <w:r w:rsidR="00705A66" w:rsidRPr="00705A66">
        <w:t>having regard to the risk management considerations above</w:t>
      </w:r>
      <w:r w:rsidR="00705A66">
        <w:t xml:space="preserve">, </w:t>
      </w:r>
      <w:r w:rsidR="00FE3551">
        <w:t>the submissions received</w:t>
      </w:r>
      <w:r w:rsidR="00705A66">
        <w:t xml:space="preserve">, </w:t>
      </w:r>
      <w:r w:rsidR="0052240D">
        <w:t xml:space="preserve">feedback received from targeted </w:t>
      </w:r>
      <w:r w:rsidR="00FE3551">
        <w:t xml:space="preserve">stakeholder consultation, </w:t>
      </w:r>
      <w:r w:rsidR="00705A66">
        <w:t xml:space="preserve">and risk assessment outcomes, </w:t>
      </w:r>
      <w:r w:rsidR="00705A66" w:rsidRPr="00705A66">
        <w:t>and to the statutory requirements outlined</w:t>
      </w:r>
      <w:r w:rsidR="00705A66">
        <w:t xml:space="preserve"> in Section 2.5</w:t>
      </w:r>
      <w:r w:rsidR="00E97DBA">
        <w:t>.</w:t>
      </w:r>
    </w:p>
    <w:p w14:paraId="76DB181E" w14:textId="77777777" w:rsidR="00E97DBA" w:rsidRDefault="00E97DBA" w:rsidP="00AD3F0B"/>
    <w:p w14:paraId="751A411C" w14:textId="4475938D" w:rsidR="00E97DBA" w:rsidRPr="00077654" w:rsidRDefault="00E97DBA" w:rsidP="00E97DBA">
      <w:r w:rsidRPr="00705A66">
        <w:t xml:space="preserve">The reasons for </w:t>
      </w:r>
      <w:r w:rsidR="00231912">
        <w:t>this</w:t>
      </w:r>
      <w:r w:rsidRPr="00705A66">
        <w:t xml:space="preserve"> decision </w:t>
      </w:r>
      <w:r>
        <w:t xml:space="preserve">are </w:t>
      </w:r>
      <w:r w:rsidR="00231912">
        <w:t>detailed</w:t>
      </w:r>
      <w:r>
        <w:t xml:space="preserve"> above. </w:t>
      </w:r>
      <w:r w:rsidR="00231912">
        <w:t>In</w:t>
      </w:r>
      <w:r w:rsidR="002162B6">
        <w:t xml:space="preserve"> </w:t>
      </w:r>
      <w:r w:rsidR="00231912">
        <w:t>essence</w:t>
      </w:r>
      <w:r w:rsidR="002162B6">
        <w:t xml:space="preserve">, </w:t>
      </w:r>
      <w:r w:rsidR="00231912">
        <w:rPr>
          <w:rFonts w:eastAsia="Calibri"/>
        </w:rPr>
        <w:t>they are as follows</w:t>
      </w:r>
      <w:r>
        <w:rPr>
          <w:rFonts w:eastAsia="Calibri"/>
        </w:rPr>
        <w:t>:</w:t>
      </w:r>
    </w:p>
    <w:p w14:paraId="0B40B933" w14:textId="77777777" w:rsidR="00E97DBA" w:rsidRDefault="00E97DBA" w:rsidP="00E97DBA"/>
    <w:p w14:paraId="4D0D8DE7" w14:textId="02F4FABF" w:rsidR="00E97DBA" w:rsidRDefault="00E97DBA" w:rsidP="00E97DBA">
      <w:pPr>
        <w:pStyle w:val="FSBullet"/>
      </w:pPr>
      <w:r w:rsidRPr="001B010A">
        <w:t xml:space="preserve">The risk assessment concluded that exposures to </w:t>
      </w:r>
      <w:r w:rsidR="00FA0743">
        <w:t xml:space="preserve">CMPF </w:t>
      </w:r>
      <w:r w:rsidRPr="001B010A">
        <w:t xml:space="preserve">are low and unlikely to pose a public health and safety concern.  </w:t>
      </w:r>
    </w:p>
    <w:p w14:paraId="1C09AF7C" w14:textId="77777777" w:rsidR="00E97DBA" w:rsidRDefault="00E97DBA" w:rsidP="00E97DBA"/>
    <w:p w14:paraId="148886A4" w14:textId="77777777" w:rsidR="00077654" w:rsidRDefault="00E97DBA" w:rsidP="00E97DBA">
      <w:pPr>
        <w:pStyle w:val="FSBullet"/>
      </w:pPr>
      <w:r w:rsidRPr="009A39D3">
        <w:t xml:space="preserve">Stakeholder consultation </w:t>
      </w:r>
      <w:r>
        <w:t>confirmed</w:t>
      </w:r>
      <w:r w:rsidRPr="009A39D3">
        <w:t xml:space="preserve"> that industry has sufficient control measures in place to control CMPF</w:t>
      </w:r>
      <w:r>
        <w:t xml:space="preserve"> (which, as mentioned above, presents a low exposure risk)</w:t>
      </w:r>
      <w:r w:rsidRPr="009A39D3">
        <w:t>.</w:t>
      </w:r>
      <w:r>
        <w:br/>
      </w:r>
    </w:p>
    <w:p w14:paraId="5900870D" w14:textId="44FE16BC" w:rsidR="00E97DBA" w:rsidRPr="009A39D3" w:rsidRDefault="00231912" w:rsidP="00E97DBA">
      <w:pPr>
        <w:pStyle w:val="FSBullet"/>
      </w:pPr>
      <w:r>
        <w:t>M</w:t>
      </w:r>
      <w:r w:rsidR="00E97DBA">
        <w:t xml:space="preserve">easures other than a </w:t>
      </w:r>
      <w:r w:rsidR="00E97DBA">
        <w:rPr>
          <w:rFonts w:eastAsia="Calibri"/>
        </w:rPr>
        <w:t>food regulatory measure</w:t>
      </w:r>
      <w:r>
        <w:rPr>
          <w:rFonts w:eastAsia="Calibri"/>
        </w:rPr>
        <w:t xml:space="preserve"> can </w:t>
      </w:r>
      <w:r>
        <w:t xml:space="preserve">adequately </w:t>
      </w:r>
      <w:r w:rsidR="00E8036C" w:rsidRPr="00E8036C">
        <w:t xml:space="preserve">address </w:t>
      </w:r>
      <w:r>
        <w:t>residual risk</w:t>
      </w:r>
      <w:r w:rsidR="00E97DBA">
        <w:t xml:space="preserve">. </w:t>
      </w:r>
      <w:r w:rsidR="00E97DBA" w:rsidRPr="009A39D3">
        <w:t xml:space="preserve"> </w:t>
      </w:r>
      <w:r w:rsidR="00FD6A69">
        <w:t xml:space="preserve">The </w:t>
      </w:r>
      <w:r w:rsidR="00E97DBA">
        <w:t>FSANZ assessment is that the above-mentioned g</w:t>
      </w:r>
      <w:r w:rsidR="00E97DBA" w:rsidRPr="000843E8">
        <w:t xml:space="preserve">aps in industry awareness </w:t>
      </w:r>
      <w:r w:rsidR="00E97DBA">
        <w:t>in relation to CMPF control measures can be addressed through development of a</w:t>
      </w:r>
      <w:r w:rsidR="00E97DBA" w:rsidRPr="000843E8">
        <w:t xml:space="preserve"> food packaging information guide</w:t>
      </w:r>
      <w:r w:rsidR="00E97DBA">
        <w:t xml:space="preserve"> as opposed to development of a variation to </w:t>
      </w:r>
      <w:r w:rsidR="002162B6">
        <w:t>the Code</w:t>
      </w:r>
      <w:r w:rsidR="00E97DBA">
        <w:t>.</w:t>
      </w:r>
    </w:p>
    <w:p w14:paraId="0449EBF2" w14:textId="77777777" w:rsidR="00E97DBA" w:rsidRDefault="00E97DBA" w:rsidP="00E97DBA"/>
    <w:p w14:paraId="22ED5DCF" w14:textId="5529B277" w:rsidR="00E97DBA" w:rsidRDefault="00E8036C" w:rsidP="00E97DBA">
      <w:r>
        <w:t>T</w:t>
      </w:r>
      <w:r w:rsidR="002162B6">
        <w:t>h</w:t>
      </w:r>
      <w:r>
        <w:t>e</w:t>
      </w:r>
      <w:r w:rsidR="002162B6">
        <w:t xml:space="preserve"> Proposal</w:t>
      </w:r>
      <w:r>
        <w:t xml:space="preserve"> P1034</w:t>
      </w:r>
      <w:r w:rsidR="002162B6">
        <w:t xml:space="preserve"> did </w:t>
      </w:r>
      <w:r w:rsidR="00E97DBA" w:rsidRPr="008E09E8">
        <w:rPr>
          <w:rFonts w:cs="Arial"/>
          <w:szCs w:val="22"/>
          <w:lang w:eastAsia="en-GB"/>
        </w:rPr>
        <w:t>not include modified atmosphere packaging</w:t>
      </w:r>
      <w:r w:rsidR="0052240D">
        <w:rPr>
          <w:rFonts w:cs="Arial"/>
          <w:szCs w:val="22"/>
          <w:lang w:eastAsia="en-GB"/>
        </w:rPr>
        <w:t>,</w:t>
      </w:r>
      <w:r w:rsidR="00E97DBA" w:rsidRPr="008E09E8">
        <w:rPr>
          <w:rFonts w:cs="Arial"/>
          <w:szCs w:val="22"/>
          <w:lang w:eastAsia="en-GB"/>
        </w:rPr>
        <w:t xml:space="preserve"> intelligent packaging and nanomaterials </w:t>
      </w:r>
      <w:r>
        <w:rPr>
          <w:rFonts w:cs="Arial"/>
          <w:szCs w:val="22"/>
          <w:lang w:eastAsia="en-GB"/>
        </w:rPr>
        <w:t>used in packaging</w:t>
      </w:r>
      <w:r w:rsidR="00E97DBA">
        <w:rPr>
          <w:rFonts w:cs="Arial"/>
          <w:szCs w:val="22"/>
          <w:lang w:eastAsia="en-GB"/>
        </w:rPr>
        <w:t xml:space="preserve">. </w:t>
      </w:r>
      <w:r w:rsidR="002162B6">
        <w:t>These will be considered in</w:t>
      </w:r>
      <w:r w:rsidR="00E97DBA">
        <w:t xml:space="preserve"> subsequent packaging</w:t>
      </w:r>
      <w:r w:rsidR="002162B6">
        <w:t xml:space="preserve"> work by FSANZ</w:t>
      </w:r>
      <w:r w:rsidR="00E97DBA">
        <w:t xml:space="preserve">. </w:t>
      </w:r>
    </w:p>
    <w:p w14:paraId="49A1CAE4" w14:textId="16099BAE" w:rsidR="00A670A7" w:rsidRPr="008C301D" w:rsidRDefault="00A670A7" w:rsidP="00A670A7">
      <w:pPr>
        <w:pStyle w:val="Heading2"/>
      </w:pPr>
      <w:bookmarkStart w:id="71" w:name="_Toc309291814"/>
      <w:bookmarkStart w:id="72" w:name="_Toc493774536"/>
      <w:bookmarkStart w:id="73" w:name="_Toc175381442"/>
      <w:bookmarkStart w:id="74" w:name="_Toc286391010"/>
      <w:bookmarkStart w:id="75" w:name="_Toc300933426"/>
      <w:bookmarkStart w:id="76" w:name="_Toc309291839"/>
      <w:bookmarkStart w:id="77" w:name="_Toc309385456"/>
      <w:r>
        <w:t>2</w:t>
      </w:r>
      <w:r w:rsidRPr="008C301D">
        <w:t>.</w:t>
      </w:r>
      <w:r w:rsidR="001D711A">
        <w:t>4</w:t>
      </w:r>
      <w:r w:rsidRPr="008C301D">
        <w:tab/>
        <w:t>Risk communication</w:t>
      </w:r>
      <w:bookmarkEnd w:id="71"/>
      <w:bookmarkEnd w:id="72"/>
      <w:r w:rsidRPr="008C301D">
        <w:t xml:space="preserve"> </w:t>
      </w:r>
    </w:p>
    <w:p w14:paraId="5EF16252" w14:textId="439AB50D" w:rsidR="00A670A7" w:rsidRPr="00910B60" w:rsidRDefault="00A670A7" w:rsidP="00A670A7">
      <w:pPr>
        <w:pStyle w:val="Heading3"/>
      </w:pPr>
      <w:bookmarkStart w:id="78" w:name="_Toc300933437"/>
      <w:bookmarkStart w:id="79" w:name="_Toc370223475"/>
      <w:bookmarkStart w:id="80" w:name="_Toc493774537"/>
      <w:bookmarkStart w:id="81" w:name="_Toc286391012"/>
      <w:bookmarkStart w:id="82" w:name="_Toc15456903"/>
      <w:bookmarkStart w:id="83" w:name="_Toc20727764"/>
      <w:bookmarkStart w:id="84" w:name="_Toc29727729"/>
      <w:bookmarkStart w:id="85" w:name="_Toc29883126"/>
      <w:bookmarkStart w:id="86" w:name="_Toc41906813"/>
      <w:bookmarkStart w:id="87" w:name="_Toc41907560"/>
      <w:bookmarkStart w:id="88" w:name="_Toc120358594"/>
      <w:bookmarkStart w:id="89" w:name="_Toc175381453"/>
      <w:bookmarkStart w:id="90" w:name="_Toc309291815"/>
      <w:r w:rsidRPr="00910B60">
        <w:t>2.</w:t>
      </w:r>
      <w:r w:rsidR="001D711A">
        <w:t>4</w:t>
      </w:r>
      <w:r w:rsidRPr="00910B60">
        <w:t>.1</w:t>
      </w:r>
      <w:r w:rsidRPr="00910B60">
        <w:tab/>
        <w:t>Consultation</w:t>
      </w:r>
      <w:bookmarkEnd w:id="78"/>
      <w:bookmarkEnd w:id="79"/>
      <w:bookmarkEnd w:id="80"/>
    </w:p>
    <w:p w14:paraId="42E3ED4D" w14:textId="77777777" w:rsidR="00684370" w:rsidRDefault="00A670A7" w:rsidP="00F919AB">
      <w:pPr>
        <w:rPr>
          <w:szCs w:val="22"/>
        </w:rPr>
      </w:pPr>
      <w:r w:rsidRPr="00A670A7">
        <w:rPr>
          <w:szCs w:val="22"/>
        </w:rPr>
        <w:t xml:space="preserve">Consultation is a key part of </w:t>
      </w:r>
      <w:r w:rsidR="00684370">
        <w:rPr>
          <w:szCs w:val="22"/>
        </w:rPr>
        <w:t>the regulatory analysis process</w:t>
      </w:r>
      <w:r w:rsidRPr="00A670A7">
        <w:rPr>
          <w:szCs w:val="22"/>
        </w:rPr>
        <w:t xml:space="preserve">. </w:t>
      </w:r>
      <w:r w:rsidRPr="007C1861">
        <w:rPr>
          <w:szCs w:val="22"/>
        </w:rPr>
        <w:t xml:space="preserve">FSANZ acknowledges the time taken by individuals and organisations to make submissions on this Proposal. </w:t>
      </w:r>
    </w:p>
    <w:p w14:paraId="2F54ACFC" w14:textId="77777777" w:rsidR="00684370" w:rsidRDefault="00684370" w:rsidP="00F919AB">
      <w:pPr>
        <w:rPr>
          <w:szCs w:val="22"/>
        </w:rPr>
      </w:pPr>
    </w:p>
    <w:p w14:paraId="6A903A7D" w14:textId="3BB0650F" w:rsidR="00A670A7" w:rsidRDefault="00684370" w:rsidP="00A670A7">
      <w:pPr>
        <w:rPr>
          <w:szCs w:val="22"/>
        </w:rPr>
      </w:pPr>
      <w:r>
        <w:rPr>
          <w:szCs w:val="22"/>
        </w:rPr>
        <w:t xml:space="preserve">Two rounds of public consultations were held and </w:t>
      </w:r>
      <w:hyperlink r:id="rId35" w:history="1">
        <w:r w:rsidRPr="00A1425F">
          <w:rPr>
            <w:rStyle w:val="Hyperlink"/>
            <w:szCs w:val="22"/>
          </w:rPr>
          <w:t xml:space="preserve">submissions are available </w:t>
        </w:r>
        <w:r w:rsidR="007C1861" w:rsidRPr="00A1425F">
          <w:rPr>
            <w:rStyle w:val="Hyperlink"/>
            <w:szCs w:val="22"/>
          </w:rPr>
          <w:t>on the FSANZ website</w:t>
        </w:r>
      </w:hyperlink>
      <w:r w:rsidR="00486F79">
        <w:rPr>
          <w:rStyle w:val="FootnoteReference"/>
          <w:szCs w:val="22"/>
        </w:rPr>
        <w:footnoteReference w:id="7"/>
      </w:r>
      <w:r w:rsidR="00486F79">
        <w:rPr>
          <w:szCs w:val="22"/>
        </w:rPr>
        <w:t xml:space="preserve">. </w:t>
      </w:r>
      <w:r w:rsidR="007C1861">
        <w:rPr>
          <w:szCs w:val="22"/>
        </w:rPr>
        <w:t>I</w:t>
      </w:r>
      <w:r w:rsidR="007C1861" w:rsidRPr="007C1861">
        <w:rPr>
          <w:szCs w:val="22"/>
        </w:rPr>
        <w:t xml:space="preserve">ssues raised in submissions </w:t>
      </w:r>
      <w:r w:rsidR="007C1861">
        <w:rPr>
          <w:szCs w:val="22"/>
        </w:rPr>
        <w:t xml:space="preserve">to </w:t>
      </w:r>
      <w:r w:rsidR="00652C07">
        <w:rPr>
          <w:szCs w:val="22"/>
        </w:rPr>
        <w:t xml:space="preserve">the </w:t>
      </w:r>
      <w:r w:rsidR="002162B6">
        <w:rPr>
          <w:szCs w:val="22"/>
        </w:rPr>
        <w:t>Consultation Paper and Call for Submissions</w:t>
      </w:r>
      <w:r w:rsidR="00652C07">
        <w:rPr>
          <w:szCs w:val="22"/>
        </w:rPr>
        <w:t xml:space="preserve"> a</w:t>
      </w:r>
      <w:r w:rsidR="00486F79">
        <w:rPr>
          <w:szCs w:val="22"/>
        </w:rPr>
        <w:t xml:space="preserve">re addressed in section 2.2.5 and </w:t>
      </w:r>
      <w:r w:rsidR="00077654">
        <w:rPr>
          <w:szCs w:val="22"/>
        </w:rPr>
        <w:t>Supporting Documents 1</w:t>
      </w:r>
      <w:r w:rsidR="00486F79">
        <w:rPr>
          <w:szCs w:val="22"/>
        </w:rPr>
        <w:t xml:space="preserve"> and 2. </w:t>
      </w:r>
      <w:r w:rsidRPr="00684370">
        <w:rPr>
          <w:szCs w:val="22"/>
        </w:rPr>
        <w:t xml:space="preserve">The </w:t>
      </w:r>
      <w:r w:rsidR="002162B6">
        <w:rPr>
          <w:szCs w:val="22"/>
        </w:rPr>
        <w:t xml:space="preserve">Consultation Paper and Call for Submissions </w:t>
      </w:r>
      <w:r w:rsidRPr="00684370">
        <w:rPr>
          <w:szCs w:val="22"/>
        </w:rPr>
        <w:t>generated a high level of public interest and were well received as evidenced by the number and quality of submissions</w:t>
      </w:r>
      <w:r>
        <w:rPr>
          <w:szCs w:val="22"/>
        </w:rPr>
        <w:t>.</w:t>
      </w:r>
      <w:r w:rsidRPr="00684370">
        <w:rPr>
          <w:szCs w:val="22"/>
        </w:rPr>
        <w:t xml:space="preserve"> All comments are valued and contribute to the rigour of our assessment</w:t>
      </w:r>
      <w:r w:rsidR="00F919AB" w:rsidRPr="000B4B07">
        <w:rPr>
          <w:szCs w:val="22"/>
        </w:rPr>
        <w:t>.</w:t>
      </w:r>
      <w:r w:rsidR="009E20F5" w:rsidRPr="007C1861">
        <w:rPr>
          <w:szCs w:val="22"/>
        </w:rPr>
        <w:t xml:space="preserve"> </w:t>
      </w:r>
    </w:p>
    <w:p w14:paraId="18399E8D" w14:textId="77777777" w:rsidR="003111A8" w:rsidRPr="007C1861" w:rsidRDefault="003111A8" w:rsidP="00A670A7">
      <w:pPr>
        <w:rPr>
          <w:szCs w:val="22"/>
        </w:rPr>
      </w:pPr>
    </w:p>
    <w:p w14:paraId="19A78028" w14:textId="7856DA54" w:rsidR="007C1861" w:rsidRDefault="000B4B07" w:rsidP="00A670A7">
      <w:pPr>
        <w:rPr>
          <w:color w:val="00B050"/>
          <w:szCs w:val="22"/>
        </w:rPr>
      </w:pPr>
      <w:r>
        <w:rPr>
          <w:szCs w:val="22"/>
        </w:rPr>
        <w:t xml:space="preserve">Consultation through the PAG </w:t>
      </w:r>
      <w:r w:rsidR="00684370">
        <w:rPr>
          <w:szCs w:val="22"/>
        </w:rPr>
        <w:t xml:space="preserve">was a critical component of the assessment for this proposal. </w:t>
      </w:r>
      <w:r w:rsidR="00652C07">
        <w:rPr>
          <w:szCs w:val="22"/>
        </w:rPr>
        <w:t>The PAG was</w:t>
      </w:r>
      <w:r w:rsidR="00652C07" w:rsidRPr="00652C07">
        <w:rPr>
          <w:rFonts w:eastAsia="Calibri"/>
          <w:lang w:bidi="ar-SA"/>
        </w:rPr>
        <w:t xml:space="preserve"> established to advise</w:t>
      </w:r>
      <w:r w:rsidR="00652C07">
        <w:rPr>
          <w:rFonts w:eastAsia="Calibri"/>
          <w:lang w:bidi="ar-SA"/>
        </w:rPr>
        <w:t xml:space="preserve"> </w:t>
      </w:r>
      <w:r w:rsidR="003216F2">
        <w:rPr>
          <w:rFonts w:eastAsia="Calibri"/>
          <w:lang w:bidi="ar-SA"/>
        </w:rPr>
        <w:t xml:space="preserve">FSANZ </w:t>
      </w:r>
      <w:r w:rsidR="00652C07">
        <w:rPr>
          <w:rFonts w:eastAsia="Calibri"/>
          <w:lang w:bidi="ar-SA"/>
        </w:rPr>
        <w:t xml:space="preserve">on numerous matters related to the assessment, stakeholder concerns, and appropriate risk management options. </w:t>
      </w:r>
      <w:r w:rsidR="00652C07" w:rsidRPr="00652C07">
        <w:rPr>
          <w:rFonts w:eastAsia="Calibri"/>
          <w:lang w:bidi="ar-SA"/>
        </w:rPr>
        <w:t xml:space="preserve">The </w:t>
      </w:r>
      <w:r w:rsidR="00652C07">
        <w:rPr>
          <w:rFonts w:eastAsia="Calibri"/>
          <w:lang w:bidi="ar-SA"/>
        </w:rPr>
        <w:t>PAG composition wa</w:t>
      </w:r>
      <w:r w:rsidR="00652C07" w:rsidRPr="00652C07">
        <w:rPr>
          <w:rFonts w:eastAsia="Calibri"/>
          <w:lang w:bidi="ar-SA"/>
        </w:rPr>
        <w:t xml:space="preserve">s diverse with </w:t>
      </w:r>
      <w:r w:rsidR="003216F2">
        <w:rPr>
          <w:rFonts w:eastAsia="Calibri"/>
          <w:lang w:bidi="ar-SA"/>
        </w:rPr>
        <w:t>effective</w:t>
      </w:r>
      <w:r w:rsidR="003216F2" w:rsidRPr="00652C07">
        <w:rPr>
          <w:rFonts w:eastAsia="Calibri"/>
          <w:lang w:bidi="ar-SA"/>
        </w:rPr>
        <w:t xml:space="preserve"> </w:t>
      </w:r>
      <w:r w:rsidR="00652C07" w:rsidRPr="00652C07">
        <w:rPr>
          <w:rFonts w:eastAsia="Calibri"/>
          <w:lang w:bidi="ar-SA"/>
        </w:rPr>
        <w:t>trans-Tasman representation of peak bodies, industry members (including SME representation), jurisdictions and a consumer representative</w:t>
      </w:r>
      <w:r w:rsidR="00652C07">
        <w:rPr>
          <w:rFonts w:eastAsia="Calibri"/>
          <w:lang w:bidi="ar-SA"/>
        </w:rPr>
        <w:t xml:space="preserve">. Six meetings of the PAG </w:t>
      </w:r>
      <w:r w:rsidR="00A1425F">
        <w:rPr>
          <w:rFonts w:eastAsia="Calibri"/>
          <w:lang w:bidi="ar-SA"/>
        </w:rPr>
        <w:t>have been held</w:t>
      </w:r>
      <w:r w:rsidR="00652C07">
        <w:rPr>
          <w:rFonts w:eastAsia="Calibri"/>
          <w:lang w:bidi="ar-SA"/>
        </w:rPr>
        <w:t xml:space="preserve"> since its inception in 2014. </w:t>
      </w:r>
    </w:p>
    <w:p w14:paraId="6F7A05FA" w14:textId="04D939DA" w:rsidR="007C1861" w:rsidRDefault="007C1861" w:rsidP="007C1861">
      <w:pPr>
        <w:pStyle w:val="Heading3"/>
      </w:pPr>
      <w:bookmarkStart w:id="91" w:name="_Toc493774538"/>
      <w:r w:rsidRPr="007C1861">
        <w:t>2.</w:t>
      </w:r>
      <w:r w:rsidR="001D711A">
        <w:t>4</w:t>
      </w:r>
      <w:r w:rsidRPr="007C1861">
        <w:t>.2</w:t>
      </w:r>
      <w:r w:rsidR="007D5427">
        <w:tab/>
      </w:r>
      <w:r w:rsidRPr="007C1861">
        <w:t>Communication strategy</w:t>
      </w:r>
      <w:bookmarkEnd w:id="91"/>
      <w:r w:rsidRPr="007C1861">
        <w:t xml:space="preserve"> </w:t>
      </w:r>
    </w:p>
    <w:p w14:paraId="450C3993" w14:textId="2A516D09" w:rsidR="00F11E4B" w:rsidRDefault="007C1861" w:rsidP="004C19A6">
      <w:pPr>
        <w:rPr>
          <w:lang w:eastAsia="en-AU"/>
        </w:rPr>
      </w:pPr>
      <w:r>
        <w:rPr>
          <w:lang w:eastAsia="en-AU" w:bidi="ar-SA"/>
        </w:rPr>
        <w:t>FSANZ developed a communication strategy</w:t>
      </w:r>
      <w:r w:rsidR="004D7530">
        <w:rPr>
          <w:lang w:eastAsia="en-AU" w:bidi="ar-SA"/>
        </w:rPr>
        <w:t xml:space="preserve"> </w:t>
      </w:r>
      <w:r w:rsidR="000F7006">
        <w:rPr>
          <w:lang w:eastAsia="en-AU" w:bidi="ar-SA"/>
        </w:rPr>
        <w:t>for</w:t>
      </w:r>
      <w:r w:rsidR="004C19A6">
        <w:rPr>
          <w:lang w:eastAsia="en-AU" w:bidi="ar-SA"/>
        </w:rPr>
        <w:t xml:space="preserve"> P1034. T</w:t>
      </w:r>
      <w:r>
        <w:rPr>
          <w:lang w:eastAsia="en-AU" w:bidi="ar-SA"/>
        </w:rPr>
        <w:t xml:space="preserve">he communication strategy involved </w:t>
      </w:r>
      <w:r w:rsidR="00A1425F">
        <w:rPr>
          <w:lang w:eastAsia="en-AU" w:bidi="ar-SA"/>
        </w:rPr>
        <w:t xml:space="preserve">establishing </w:t>
      </w:r>
      <w:r w:rsidR="004C19A6">
        <w:rPr>
          <w:lang w:eastAsia="en-AU"/>
        </w:rPr>
        <w:t>consultation</w:t>
      </w:r>
      <w:r w:rsidR="000F7006">
        <w:rPr>
          <w:lang w:eastAsia="en-AU"/>
        </w:rPr>
        <w:t xml:space="preserve"> mechanisms</w:t>
      </w:r>
      <w:r w:rsidR="004C19A6">
        <w:rPr>
          <w:lang w:eastAsia="en-AU"/>
        </w:rPr>
        <w:t xml:space="preserve"> with industry, jurisdictional and consumer </w:t>
      </w:r>
      <w:r w:rsidR="00F11E4B">
        <w:rPr>
          <w:lang w:eastAsia="en-AU"/>
        </w:rPr>
        <w:t>stakeholders</w:t>
      </w:r>
      <w:r w:rsidR="004C19A6">
        <w:rPr>
          <w:lang w:eastAsia="en-AU"/>
        </w:rPr>
        <w:t>, d</w:t>
      </w:r>
      <w:r w:rsidR="00F11E4B">
        <w:rPr>
          <w:lang w:eastAsia="en-AU"/>
        </w:rPr>
        <w:t>evelopment of website material</w:t>
      </w:r>
      <w:r w:rsidR="004C19A6">
        <w:rPr>
          <w:lang w:eastAsia="en-AU"/>
        </w:rPr>
        <w:t>, and c</w:t>
      </w:r>
      <w:r w:rsidR="00F11E4B">
        <w:rPr>
          <w:lang w:eastAsia="en-AU"/>
        </w:rPr>
        <w:t>ommunication through social media</w:t>
      </w:r>
      <w:r w:rsidR="004C19A6">
        <w:rPr>
          <w:lang w:eastAsia="en-AU"/>
        </w:rPr>
        <w:t>.</w:t>
      </w:r>
      <w:r w:rsidR="000F7006">
        <w:rPr>
          <w:lang w:eastAsia="en-AU"/>
        </w:rPr>
        <w:t xml:space="preserve"> Media releases accompanied consultation documents and were promoted through social media and through Food Standards News. </w:t>
      </w:r>
    </w:p>
    <w:p w14:paraId="2A70D1B7" w14:textId="77777777" w:rsidR="00F11E4B" w:rsidRDefault="00F11E4B" w:rsidP="007C1861">
      <w:pPr>
        <w:rPr>
          <w:lang w:eastAsia="en-AU" w:bidi="ar-SA"/>
        </w:rPr>
      </w:pPr>
    </w:p>
    <w:p w14:paraId="120744D0" w14:textId="2610D883" w:rsidR="00F11E4B" w:rsidRPr="007C1861" w:rsidRDefault="00F11E4B" w:rsidP="007C1861">
      <w:pPr>
        <w:rPr>
          <w:lang w:eastAsia="en-AU" w:bidi="ar-SA"/>
        </w:rPr>
      </w:pPr>
      <w:r>
        <w:rPr>
          <w:lang w:eastAsia="en-AU" w:bidi="ar-SA"/>
        </w:rPr>
        <w:t>While abandonment of P1034 closes this stage of FSANZ</w:t>
      </w:r>
      <w:r w:rsidR="003216F2">
        <w:rPr>
          <w:lang w:eastAsia="en-AU" w:bidi="ar-SA"/>
        </w:rPr>
        <w:t>’s</w:t>
      </w:r>
      <w:r>
        <w:rPr>
          <w:lang w:eastAsia="en-AU" w:bidi="ar-SA"/>
        </w:rPr>
        <w:t xml:space="preserve"> work on food packaging materials, </w:t>
      </w:r>
      <w:r w:rsidR="00684370">
        <w:rPr>
          <w:lang w:eastAsia="en-AU" w:bidi="ar-SA"/>
        </w:rPr>
        <w:t xml:space="preserve">FSANZ will continue to </w:t>
      </w:r>
      <w:r>
        <w:rPr>
          <w:lang w:eastAsia="en-AU" w:bidi="ar-SA"/>
        </w:rPr>
        <w:t xml:space="preserve">work with key stakeholders to develop </w:t>
      </w:r>
      <w:r w:rsidR="00684370">
        <w:rPr>
          <w:lang w:eastAsia="en-AU" w:bidi="ar-SA"/>
        </w:rPr>
        <w:t>the</w:t>
      </w:r>
      <w:r w:rsidR="004D7530">
        <w:rPr>
          <w:lang w:eastAsia="en-AU" w:bidi="ar-SA"/>
        </w:rPr>
        <w:t xml:space="preserve"> </w:t>
      </w:r>
      <w:r w:rsidR="0056412C">
        <w:rPr>
          <w:lang w:eastAsia="en-AU" w:bidi="ar-SA"/>
        </w:rPr>
        <w:t>information</w:t>
      </w:r>
      <w:r w:rsidR="00684370">
        <w:rPr>
          <w:lang w:eastAsia="en-AU" w:bidi="ar-SA"/>
        </w:rPr>
        <w:t xml:space="preserve"> </w:t>
      </w:r>
      <w:r>
        <w:rPr>
          <w:lang w:eastAsia="en-AU" w:bidi="ar-SA"/>
        </w:rPr>
        <w:t>guid</w:t>
      </w:r>
      <w:r w:rsidR="00684370">
        <w:rPr>
          <w:lang w:eastAsia="en-AU" w:bidi="ar-SA"/>
        </w:rPr>
        <w:t>e</w:t>
      </w:r>
      <w:r w:rsidR="004D7530">
        <w:rPr>
          <w:lang w:eastAsia="en-AU" w:bidi="ar-SA"/>
        </w:rPr>
        <w:t xml:space="preserve"> that will </w:t>
      </w:r>
      <w:r>
        <w:rPr>
          <w:lang w:eastAsia="en-AU" w:bidi="ar-SA"/>
        </w:rPr>
        <w:t>assist food businesses to ensure food packaging is safe.</w:t>
      </w:r>
      <w:r w:rsidR="00EE7EBE">
        <w:rPr>
          <w:lang w:eastAsia="en-AU" w:bidi="ar-SA"/>
        </w:rPr>
        <w:t xml:space="preserve"> FSANZ will also continue to monitor</w:t>
      </w:r>
      <w:r w:rsidR="004D7530" w:rsidRPr="004D7530">
        <w:rPr>
          <w:lang w:eastAsia="en-AU" w:bidi="ar-SA"/>
        </w:rPr>
        <w:t xml:space="preserve"> CMPF issues as they emerge</w:t>
      </w:r>
      <w:r w:rsidR="00DC77CB">
        <w:rPr>
          <w:lang w:eastAsia="en-AU" w:bidi="ar-SA"/>
        </w:rPr>
        <w:t xml:space="preserve"> and will consider appropriate management options if required</w:t>
      </w:r>
      <w:r w:rsidR="004D7530">
        <w:rPr>
          <w:lang w:eastAsia="en-AU" w:bidi="ar-SA"/>
        </w:rPr>
        <w:t>. These activities will continue to be communicated through the FSANZ website</w:t>
      </w:r>
      <w:r w:rsidR="000F7006">
        <w:rPr>
          <w:lang w:eastAsia="en-AU" w:bidi="ar-SA"/>
        </w:rPr>
        <w:t>, publications and social media</w:t>
      </w:r>
      <w:r w:rsidR="004D7530">
        <w:rPr>
          <w:lang w:eastAsia="en-AU" w:bidi="ar-SA"/>
        </w:rPr>
        <w:t>.</w:t>
      </w:r>
    </w:p>
    <w:p w14:paraId="76F887A5" w14:textId="19E1E198" w:rsidR="00A670A7" w:rsidRDefault="00684370" w:rsidP="00A670A7">
      <w:pPr>
        <w:pStyle w:val="Heading2"/>
      </w:pPr>
      <w:bookmarkStart w:id="92" w:name="_Toc370223477"/>
      <w:bookmarkStart w:id="93" w:name="_Toc493774539"/>
      <w:bookmarkStart w:id="94" w:name="_Toc175381455"/>
      <w:bookmarkStart w:id="95" w:name="_Toc309291816"/>
      <w:bookmarkStart w:id="96" w:name="_Toc300933448"/>
      <w:bookmarkStart w:id="97" w:name="_Toc300933577"/>
      <w:bookmarkStart w:id="98" w:name="_Toc301535601"/>
      <w:bookmarkStart w:id="99" w:name="_Toc309385464"/>
      <w:bookmarkEnd w:id="44"/>
      <w:bookmarkEnd w:id="45"/>
      <w:bookmarkEnd w:id="46"/>
      <w:bookmarkEnd w:id="47"/>
      <w:bookmarkEnd w:id="48"/>
      <w:bookmarkEnd w:id="49"/>
      <w:bookmarkEnd w:id="50"/>
      <w:bookmarkEnd w:id="51"/>
      <w:bookmarkEnd w:id="52"/>
      <w:bookmarkEnd w:id="58"/>
      <w:bookmarkEnd w:id="73"/>
      <w:bookmarkEnd w:id="74"/>
      <w:bookmarkEnd w:id="75"/>
      <w:bookmarkEnd w:id="76"/>
      <w:bookmarkEnd w:id="77"/>
      <w:bookmarkEnd w:id="81"/>
      <w:bookmarkEnd w:id="82"/>
      <w:bookmarkEnd w:id="83"/>
      <w:bookmarkEnd w:id="84"/>
      <w:bookmarkEnd w:id="85"/>
      <w:bookmarkEnd w:id="86"/>
      <w:bookmarkEnd w:id="87"/>
      <w:bookmarkEnd w:id="88"/>
      <w:bookmarkEnd w:id="89"/>
      <w:bookmarkEnd w:id="90"/>
      <w:r>
        <w:t>2.</w:t>
      </w:r>
      <w:r w:rsidR="001D711A">
        <w:t>5</w:t>
      </w:r>
      <w:r w:rsidR="00A670A7">
        <w:tab/>
        <w:t>FSANZ Act assessment requirements</w:t>
      </w:r>
      <w:bookmarkEnd w:id="92"/>
      <w:bookmarkEnd w:id="93"/>
    </w:p>
    <w:p w14:paraId="3778C61E" w14:textId="63EB0DEC" w:rsidR="00A670A7" w:rsidRPr="00A670A7" w:rsidRDefault="00A670A7" w:rsidP="00A670A7">
      <w:pPr>
        <w:pStyle w:val="Heading3"/>
      </w:pPr>
      <w:bookmarkStart w:id="100" w:name="_Toc370223478"/>
      <w:bookmarkStart w:id="101" w:name="_Toc493774540"/>
      <w:bookmarkStart w:id="102" w:name="_Toc120090542"/>
      <w:bookmarkStart w:id="103" w:name="_Toc120358574"/>
      <w:bookmarkStart w:id="104" w:name="_Toc120358616"/>
      <w:bookmarkEnd w:id="94"/>
      <w:bookmarkEnd w:id="95"/>
      <w:bookmarkEnd w:id="96"/>
      <w:bookmarkEnd w:id="97"/>
      <w:bookmarkEnd w:id="98"/>
      <w:bookmarkEnd w:id="99"/>
      <w:r w:rsidRPr="00A670A7">
        <w:t>2.</w:t>
      </w:r>
      <w:r w:rsidR="001D711A">
        <w:t>5</w:t>
      </w:r>
      <w:r w:rsidRPr="00A670A7">
        <w:t>.1</w:t>
      </w:r>
      <w:r w:rsidRPr="00A670A7">
        <w:tab/>
        <w:t xml:space="preserve">Section </w:t>
      </w:r>
      <w:r w:rsidRPr="00CF0BE1">
        <w:t>59</w:t>
      </w:r>
      <w:bookmarkEnd w:id="100"/>
      <w:bookmarkEnd w:id="101"/>
    </w:p>
    <w:p w14:paraId="2F554C6F" w14:textId="23D4CD50" w:rsidR="00A670A7" w:rsidRPr="00A670A7" w:rsidRDefault="001D711A" w:rsidP="00A670A7">
      <w:pPr>
        <w:pStyle w:val="Heading4"/>
      </w:pPr>
      <w:r>
        <w:t>2.5</w:t>
      </w:r>
      <w:r w:rsidR="00A670A7" w:rsidRPr="00A670A7">
        <w:t>.1.1</w:t>
      </w:r>
      <w:r w:rsidR="00A670A7" w:rsidRPr="00A670A7">
        <w:tab/>
        <w:t>Cost benefit analysis</w:t>
      </w:r>
      <w:r w:rsidR="00520670">
        <w:t xml:space="preserve"> </w:t>
      </w:r>
    </w:p>
    <w:p w14:paraId="68F48982" w14:textId="17BD2979" w:rsidR="00D162E1" w:rsidRDefault="00A03327" w:rsidP="000F499D">
      <w:pPr>
        <w:spacing w:after="120"/>
        <w:rPr>
          <w:rFonts w:cs="Arial"/>
          <w:szCs w:val="22"/>
          <w:lang w:val="en-AU" w:eastAsia="en-GB" w:bidi="ar-SA"/>
        </w:rPr>
      </w:pPr>
      <w:r>
        <w:t>FSANZ’s risk assessment has concluded that</w:t>
      </w:r>
      <w:r w:rsidR="000F499D">
        <w:t xml:space="preserve"> </w:t>
      </w:r>
      <w:r w:rsidR="000F499D">
        <w:rPr>
          <w:rFonts w:eastAsia="Calibri"/>
        </w:rPr>
        <w:t>t</w:t>
      </w:r>
      <w:r w:rsidR="000F499D" w:rsidRPr="00FF39A4">
        <w:rPr>
          <w:rFonts w:eastAsia="Calibri"/>
        </w:rPr>
        <w:t xml:space="preserve">he human health risk posed by </w:t>
      </w:r>
      <w:r w:rsidR="00DC77CB">
        <w:rPr>
          <w:rFonts w:eastAsia="Calibri"/>
        </w:rPr>
        <w:t>CMPF</w:t>
      </w:r>
      <w:r w:rsidR="000F499D" w:rsidRPr="00FF39A4">
        <w:rPr>
          <w:rFonts w:eastAsia="Calibri"/>
        </w:rPr>
        <w:t xml:space="preserve"> in Australia and New Zealand is low.</w:t>
      </w:r>
      <w:r w:rsidR="009F585C" w:rsidRPr="001F5F77">
        <w:t xml:space="preserve"> </w:t>
      </w:r>
      <w:r w:rsidR="009F585C">
        <w:t>As there are no significant public health and safety concerns</w:t>
      </w:r>
      <w:r w:rsidR="00D162E1" w:rsidRPr="003F1EFE">
        <w:rPr>
          <w:rFonts w:cs="Arial"/>
          <w:szCs w:val="22"/>
          <w:lang w:val="en-AU" w:eastAsia="en-GB" w:bidi="ar-SA"/>
        </w:rPr>
        <w:t xml:space="preserve"> about </w:t>
      </w:r>
      <w:r w:rsidR="000742A0">
        <w:rPr>
          <w:rFonts w:cs="Arial"/>
          <w:szCs w:val="22"/>
          <w:lang w:val="en-AU" w:eastAsia="en-GB" w:bidi="ar-SA"/>
        </w:rPr>
        <w:t xml:space="preserve">current levels of packaging </w:t>
      </w:r>
      <w:r w:rsidR="00D162E1" w:rsidRPr="003F1EFE">
        <w:rPr>
          <w:rFonts w:cs="Arial"/>
          <w:szCs w:val="22"/>
          <w:lang w:val="en-AU" w:eastAsia="en-GB" w:bidi="ar-SA"/>
        </w:rPr>
        <w:t>chemicals in food</w:t>
      </w:r>
      <w:r w:rsidR="009F585C">
        <w:rPr>
          <w:rFonts w:cs="Arial"/>
          <w:szCs w:val="22"/>
          <w:lang w:val="en-AU" w:eastAsia="en-GB" w:bidi="ar-SA"/>
        </w:rPr>
        <w:t xml:space="preserve">, </w:t>
      </w:r>
      <w:r w:rsidR="000742A0">
        <w:rPr>
          <w:rFonts w:cs="Arial"/>
          <w:szCs w:val="22"/>
          <w:lang w:val="en-AU" w:eastAsia="en-GB" w:bidi="ar-SA"/>
        </w:rPr>
        <w:t xml:space="preserve">it is unlikely that further regulatory intervention to manage CMPF would lead to </w:t>
      </w:r>
      <w:r w:rsidR="002437DA">
        <w:rPr>
          <w:rFonts w:cs="Arial"/>
          <w:szCs w:val="22"/>
          <w:lang w:val="en-AU" w:eastAsia="en-GB" w:bidi="ar-SA"/>
        </w:rPr>
        <w:t xml:space="preserve">improved </w:t>
      </w:r>
      <w:r w:rsidR="000742A0">
        <w:rPr>
          <w:rFonts w:cs="Arial"/>
          <w:szCs w:val="22"/>
          <w:lang w:val="en-AU" w:eastAsia="en-GB" w:bidi="ar-SA"/>
        </w:rPr>
        <w:t>health outcomes. As such, any further regulatory intervention would not be expected</w:t>
      </w:r>
      <w:r w:rsidR="00DF09E7">
        <w:rPr>
          <w:rFonts w:cs="Arial"/>
          <w:szCs w:val="22"/>
          <w:lang w:val="en-AU" w:eastAsia="en-GB" w:bidi="ar-SA"/>
        </w:rPr>
        <w:t xml:space="preserve"> to</w:t>
      </w:r>
      <w:r w:rsidR="000742A0">
        <w:rPr>
          <w:rFonts w:cs="Arial"/>
          <w:szCs w:val="22"/>
          <w:lang w:val="en-AU" w:eastAsia="en-GB" w:bidi="ar-SA"/>
        </w:rPr>
        <w:t xml:space="preserve"> </w:t>
      </w:r>
      <w:r w:rsidR="009F585C">
        <w:rPr>
          <w:rFonts w:cs="Arial"/>
          <w:szCs w:val="22"/>
          <w:lang w:val="en-AU" w:eastAsia="en-GB" w:bidi="ar-SA"/>
        </w:rPr>
        <w:t>realis</w:t>
      </w:r>
      <w:r w:rsidR="000742A0">
        <w:rPr>
          <w:rFonts w:cs="Arial"/>
          <w:szCs w:val="22"/>
          <w:lang w:val="en-AU" w:eastAsia="en-GB" w:bidi="ar-SA"/>
        </w:rPr>
        <w:t>e significant</w:t>
      </w:r>
      <w:r w:rsidR="00DF09E7">
        <w:rPr>
          <w:rFonts w:cs="Arial"/>
          <w:szCs w:val="22"/>
          <w:lang w:val="en-AU" w:eastAsia="en-GB" w:bidi="ar-SA"/>
        </w:rPr>
        <w:t>,</w:t>
      </w:r>
      <w:r w:rsidR="00AC4230">
        <w:rPr>
          <w:rFonts w:cs="Arial"/>
          <w:szCs w:val="22"/>
          <w:lang w:val="en-AU" w:eastAsia="en-GB" w:bidi="ar-SA"/>
        </w:rPr>
        <w:t xml:space="preserve"> or possibl</w:t>
      </w:r>
      <w:r w:rsidR="00DF09E7">
        <w:rPr>
          <w:rFonts w:cs="Arial"/>
          <w:szCs w:val="22"/>
          <w:lang w:val="en-AU" w:eastAsia="en-GB" w:bidi="ar-SA"/>
        </w:rPr>
        <w:t>y</w:t>
      </w:r>
      <w:r w:rsidR="00AC4230">
        <w:rPr>
          <w:rFonts w:cs="Arial"/>
          <w:szCs w:val="22"/>
          <w:lang w:val="en-AU" w:eastAsia="en-GB" w:bidi="ar-SA"/>
        </w:rPr>
        <w:t xml:space="preserve"> any</w:t>
      </w:r>
      <w:r w:rsidR="00DF09E7">
        <w:rPr>
          <w:rFonts w:cs="Arial"/>
          <w:szCs w:val="22"/>
          <w:lang w:val="en-AU" w:eastAsia="en-GB" w:bidi="ar-SA"/>
        </w:rPr>
        <w:t>,</w:t>
      </w:r>
      <w:r w:rsidR="000742A0">
        <w:rPr>
          <w:rFonts w:cs="Arial"/>
          <w:szCs w:val="22"/>
          <w:lang w:val="en-AU" w:eastAsia="en-GB" w:bidi="ar-SA"/>
        </w:rPr>
        <w:t xml:space="preserve"> benefits</w:t>
      </w:r>
      <w:r w:rsidR="00D162E1" w:rsidRPr="003F1EFE">
        <w:rPr>
          <w:rFonts w:cs="Arial"/>
          <w:szCs w:val="22"/>
          <w:lang w:val="en-AU" w:eastAsia="en-GB" w:bidi="ar-SA"/>
        </w:rPr>
        <w:t>.</w:t>
      </w:r>
    </w:p>
    <w:p w14:paraId="7231BD88" w14:textId="1AB998DF" w:rsidR="009F585C" w:rsidRDefault="009F585C" w:rsidP="00CA5D3E">
      <w:pPr>
        <w:widowControl/>
        <w:spacing w:after="240"/>
      </w:pPr>
      <w:r>
        <w:t>There would, however, be costs associated with introducing regulatory measures. Some examples may include</w:t>
      </w:r>
      <w:r w:rsidR="00AC4230">
        <w:t xml:space="preserve"> the cost of increasing the</w:t>
      </w:r>
      <w:r>
        <w:t xml:space="preserve"> traceability of packaging used throughout </w:t>
      </w:r>
      <w:r w:rsidR="00B707DA">
        <w:t>a</w:t>
      </w:r>
      <w:r w:rsidR="003A59BB">
        <w:t xml:space="preserve"> product’s</w:t>
      </w:r>
      <w:r>
        <w:t xml:space="preserve"> development and storage lifecycle, analysis of chemicals in food, </w:t>
      </w:r>
      <w:r w:rsidR="003B2DEF">
        <w:t xml:space="preserve">and </w:t>
      </w:r>
      <w:r>
        <w:t xml:space="preserve">monitoring compliance with the regulatory measures. </w:t>
      </w:r>
    </w:p>
    <w:p w14:paraId="76620880" w14:textId="16D5AC72" w:rsidR="00A670A7" w:rsidRDefault="00A670A7" w:rsidP="00F9715B">
      <w:pPr>
        <w:spacing w:after="240"/>
      </w:pPr>
      <w:r w:rsidRPr="00A670A7">
        <w:t xml:space="preserve">The costs that would arise from a food regulatory measure developed or varied as a result of </w:t>
      </w:r>
      <w:r w:rsidRPr="00F9715B">
        <w:t>the proposal</w:t>
      </w:r>
      <w:r w:rsidR="00AC4230">
        <w:t xml:space="preserve"> is highly likely to</w:t>
      </w:r>
      <w:r w:rsidRPr="00F9715B">
        <w:t xml:space="preserve"> outweigh </w:t>
      </w:r>
      <w:r w:rsidRPr="00A670A7">
        <w:t>the direct and indirect benefits to the community, Government or industry that would arise from the development or variation of the food regulatory measure.</w:t>
      </w:r>
    </w:p>
    <w:p w14:paraId="7E971C51" w14:textId="2348E4BF" w:rsidR="00F9715B" w:rsidRPr="00F9715B" w:rsidRDefault="00023EE1" w:rsidP="00F9715B">
      <w:pPr>
        <w:widowControl/>
        <w:spacing w:after="240"/>
        <w:rPr>
          <w:b/>
        </w:rPr>
      </w:pPr>
      <w:r>
        <w:rPr>
          <w:lang w:eastAsia="en-AU" w:bidi="ar-SA"/>
        </w:rPr>
        <w:t>FSANZ may</w:t>
      </w:r>
      <w:r w:rsidRPr="00D12F89">
        <w:rPr>
          <w:lang w:eastAsia="en-GB"/>
        </w:rPr>
        <w:t xml:space="preserve"> further investigat</w:t>
      </w:r>
      <w:r>
        <w:rPr>
          <w:lang w:eastAsia="en-GB"/>
        </w:rPr>
        <w:t>e</w:t>
      </w:r>
      <w:r w:rsidRPr="00D12F89">
        <w:rPr>
          <w:lang w:eastAsia="en-GB"/>
        </w:rPr>
        <w:t xml:space="preserve"> food contact materials and </w:t>
      </w:r>
      <w:r>
        <w:rPr>
          <w:lang w:eastAsia="en-GB"/>
        </w:rPr>
        <w:t>c</w:t>
      </w:r>
      <w:r w:rsidRPr="001D4CE5">
        <w:rPr>
          <w:lang w:eastAsia="en-GB"/>
        </w:rPr>
        <w:t xml:space="preserve">hemical </w:t>
      </w:r>
      <w:r>
        <w:rPr>
          <w:lang w:eastAsia="en-GB"/>
        </w:rPr>
        <w:t>m</w:t>
      </w:r>
      <w:r w:rsidRPr="001D4CE5">
        <w:rPr>
          <w:lang w:eastAsia="en-GB"/>
        </w:rPr>
        <w:t xml:space="preserve">igration from </w:t>
      </w:r>
      <w:r>
        <w:rPr>
          <w:lang w:eastAsia="en-GB"/>
        </w:rPr>
        <w:t>p</w:t>
      </w:r>
      <w:r w:rsidRPr="001D4CE5">
        <w:rPr>
          <w:lang w:eastAsia="en-GB"/>
        </w:rPr>
        <w:t xml:space="preserve">ackaging into </w:t>
      </w:r>
      <w:r>
        <w:rPr>
          <w:lang w:eastAsia="en-GB"/>
        </w:rPr>
        <w:t>f</w:t>
      </w:r>
      <w:r w:rsidRPr="001D4CE5">
        <w:rPr>
          <w:lang w:eastAsia="en-GB"/>
        </w:rPr>
        <w:t xml:space="preserve">ood </w:t>
      </w:r>
      <w:r>
        <w:rPr>
          <w:lang w:eastAsia="en-GB"/>
        </w:rPr>
        <w:t xml:space="preserve">in the future. </w:t>
      </w:r>
      <w:r w:rsidR="00F9715B">
        <w:rPr>
          <w:rFonts w:eastAsiaTheme="minorEastAsia" w:cs="Arial"/>
          <w:color w:val="000000" w:themeColor="text1"/>
          <w:kern w:val="24"/>
          <w:lang w:eastAsia="en-GB"/>
        </w:rPr>
        <w:t xml:space="preserve">Costs and benefits </w:t>
      </w:r>
      <w:r>
        <w:rPr>
          <w:rFonts w:eastAsiaTheme="minorEastAsia" w:cs="Arial"/>
          <w:color w:val="000000" w:themeColor="text1"/>
          <w:kern w:val="24"/>
          <w:lang w:eastAsia="en-GB"/>
        </w:rPr>
        <w:t xml:space="preserve">arising </w:t>
      </w:r>
      <w:r w:rsidR="00F9715B">
        <w:rPr>
          <w:rFonts w:eastAsiaTheme="minorEastAsia" w:cs="Arial"/>
          <w:color w:val="000000" w:themeColor="text1"/>
          <w:kern w:val="24"/>
          <w:lang w:eastAsia="en-GB"/>
        </w:rPr>
        <w:t xml:space="preserve">from any future </w:t>
      </w:r>
      <w:r w:rsidR="003B69B7">
        <w:rPr>
          <w:rFonts w:eastAsiaTheme="minorEastAsia" w:cs="Arial"/>
          <w:color w:val="000000" w:themeColor="text1"/>
          <w:kern w:val="24"/>
          <w:lang w:eastAsia="en-GB"/>
        </w:rPr>
        <w:t xml:space="preserve">work </w:t>
      </w:r>
      <w:r w:rsidR="00F9715B">
        <w:rPr>
          <w:rFonts w:eastAsiaTheme="minorEastAsia" w:cs="Arial"/>
          <w:color w:val="000000" w:themeColor="text1"/>
          <w:kern w:val="24"/>
          <w:lang w:eastAsia="en-GB"/>
        </w:rPr>
        <w:t>associated with CMPF</w:t>
      </w:r>
      <w:r w:rsidR="00DF09E7">
        <w:rPr>
          <w:rFonts w:eastAsiaTheme="minorEastAsia" w:cs="Arial"/>
          <w:color w:val="000000" w:themeColor="text1"/>
          <w:kern w:val="24"/>
          <w:lang w:eastAsia="en-GB"/>
        </w:rPr>
        <w:t xml:space="preserve">, such as a new </w:t>
      </w:r>
      <w:r w:rsidR="00DF09E7">
        <w:t>food packaging information guide,</w:t>
      </w:r>
      <w:r w:rsidR="00F9715B">
        <w:rPr>
          <w:rFonts w:eastAsiaTheme="minorEastAsia" w:cs="Arial"/>
          <w:color w:val="000000" w:themeColor="text1"/>
          <w:kern w:val="24"/>
          <w:lang w:eastAsia="en-GB"/>
        </w:rPr>
        <w:t xml:space="preserve"> will be considered as appropriate.</w:t>
      </w:r>
      <w:r w:rsidR="00F9715B">
        <w:rPr>
          <w:noProof/>
          <w:lang w:eastAsia="en-GB"/>
        </w:rPr>
        <w:t xml:space="preserve"> </w:t>
      </w:r>
    </w:p>
    <w:p w14:paraId="7A4BE9E9" w14:textId="787014B9" w:rsidR="00A670A7" w:rsidRPr="00A670A7" w:rsidRDefault="00E8036C" w:rsidP="00A670A7">
      <w:pPr>
        <w:pStyle w:val="Heading4"/>
      </w:pPr>
      <w:r>
        <w:t>2.5</w:t>
      </w:r>
      <w:r w:rsidR="00A670A7" w:rsidRPr="00A670A7">
        <w:t>.1.2</w:t>
      </w:r>
      <w:r w:rsidR="00A670A7" w:rsidRPr="00A670A7">
        <w:tab/>
        <w:t>Other measures</w:t>
      </w:r>
    </w:p>
    <w:p w14:paraId="448A3EDA" w14:textId="35F17714" w:rsidR="00A8494F" w:rsidRDefault="00A8494F" w:rsidP="00A670A7">
      <w:r>
        <w:t>FSANZ has determined that there are other measures (development of packaging inf</w:t>
      </w:r>
      <w:r w:rsidR="00E639EE">
        <w:t xml:space="preserve">ormation guide, see Section </w:t>
      </w:r>
      <w:r w:rsidR="00503907">
        <w:t>2.2.4)</w:t>
      </w:r>
      <w:r>
        <w:t xml:space="preserve"> that would be more cost-effective tha</w:t>
      </w:r>
      <w:r w:rsidR="00883558">
        <w:t>n</w:t>
      </w:r>
      <w:r>
        <w:t xml:space="preserve"> a food regulatory measure or vari</w:t>
      </w:r>
      <w:r w:rsidR="00883558">
        <w:t>ation</w:t>
      </w:r>
      <w:r>
        <w:t xml:space="preserve"> as a result of this Proposal.</w:t>
      </w:r>
    </w:p>
    <w:p w14:paraId="7E46DCB7" w14:textId="087C00A5" w:rsidR="00A670A7" w:rsidRPr="00A670A7" w:rsidRDefault="00A670A7" w:rsidP="00A670A7">
      <w:pPr>
        <w:pStyle w:val="Heading4"/>
      </w:pPr>
      <w:r w:rsidRPr="00A670A7">
        <w:t>2.</w:t>
      </w:r>
      <w:r w:rsidR="001D711A">
        <w:t>5</w:t>
      </w:r>
      <w:r w:rsidRPr="00A670A7">
        <w:t>.1.3</w:t>
      </w:r>
      <w:r w:rsidRPr="00A670A7">
        <w:tab/>
        <w:t>Any relevant New Zealand standards</w:t>
      </w:r>
    </w:p>
    <w:p w14:paraId="7F89483B" w14:textId="7247A651" w:rsidR="00ED6673" w:rsidRDefault="002162B6" w:rsidP="00ED6673">
      <w:pPr>
        <w:rPr>
          <w:rFonts w:cs="Arial"/>
        </w:rPr>
      </w:pPr>
      <w:r>
        <w:rPr>
          <w:rFonts w:cs="Arial"/>
        </w:rPr>
        <w:t xml:space="preserve">As explained above, the Code contains packaging related standards that apply in both Australia and New Zealand. </w:t>
      </w:r>
      <w:r w:rsidR="00ED6673" w:rsidRPr="00D8615B">
        <w:rPr>
          <w:rFonts w:cs="Arial"/>
        </w:rPr>
        <w:t xml:space="preserve">There are </w:t>
      </w:r>
      <w:r>
        <w:rPr>
          <w:rFonts w:cs="Arial"/>
        </w:rPr>
        <w:t xml:space="preserve">also </w:t>
      </w:r>
      <w:r w:rsidR="00ED6673" w:rsidRPr="00D8615B">
        <w:rPr>
          <w:rFonts w:cs="Arial"/>
        </w:rPr>
        <w:t>several pieces of legislation in New Zealand that relate to food business</w:t>
      </w:r>
      <w:r w:rsidR="00ED6673">
        <w:rPr>
          <w:rFonts w:cs="Arial"/>
        </w:rPr>
        <w:t>’</w:t>
      </w:r>
      <w:r w:rsidR="00ED6673" w:rsidRPr="00D8615B">
        <w:rPr>
          <w:rFonts w:cs="Arial"/>
        </w:rPr>
        <w:t xml:space="preserve"> use</w:t>
      </w:r>
      <w:r w:rsidR="00ED6673">
        <w:rPr>
          <w:rFonts w:cs="Arial"/>
        </w:rPr>
        <w:t xml:space="preserve"> of packaging: </w:t>
      </w:r>
      <w:r w:rsidR="00ED6673" w:rsidRPr="00F500D1">
        <w:rPr>
          <w:rFonts w:cs="Arial"/>
          <w:i/>
        </w:rPr>
        <w:t>Food Act 2014</w:t>
      </w:r>
      <w:r w:rsidR="00ED6673">
        <w:rPr>
          <w:rFonts w:cs="Arial"/>
        </w:rPr>
        <w:t xml:space="preserve">; </w:t>
      </w:r>
      <w:r w:rsidR="00ED6673" w:rsidRPr="00F500D1">
        <w:rPr>
          <w:rFonts w:cs="Arial"/>
          <w:i/>
        </w:rPr>
        <w:t>Animal Products Act 1999</w:t>
      </w:r>
      <w:r w:rsidR="00ED6673">
        <w:rPr>
          <w:rFonts w:cs="Arial"/>
        </w:rPr>
        <w:t xml:space="preserve">; Food Hygiene Regulations 1974 and </w:t>
      </w:r>
      <w:r w:rsidR="00ED6673" w:rsidRPr="00F500D1">
        <w:rPr>
          <w:rFonts w:cs="Arial"/>
          <w:i/>
        </w:rPr>
        <w:t>Wine Act 2003</w:t>
      </w:r>
      <w:r w:rsidR="008120BC">
        <w:rPr>
          <w:rFonts w:cs="Arial"/>
        </w:rPr>
        <w:t xml:space="preserve"> (refer to S</w:t>
      </w:r>
      <w:r w:rsidR="00077654">
        <w:rPr>
          <w:rFonts w:cs="Arial"/>
        </w:rPr>
        <w:t>upporting Document</w:t>
      </w:r>
      <w:r w:rsidR="008120BC">
        <w:rPr>
          <w:rFonts w:cs="Arial"/>
        </w:rPr>
        <w:t xml:space="preserve"> 1 of June 2016 Call for Submissions Paper</w:t>
      </w:r>
      <w:r w:rsidR="00503907">
        <w:rPr>
          <w:rStyle w:val="FootnoteReference"/>
          <w:rFonts w:cs="Arial"/>
        </w:rPr>
        <w:footnoteReference w:id="8"/>
      </w:r>
      <w:r w:rsidR="008120BC">
        <w:rPr>
          <w:rFonts w:cs="Arial"/>
        </w:rPr>
        <w:t xml:space="preserve">). </w:t>
      </w:r>
    </w:p>
    <w:p w14:paraId="13519EB9" w14:textId="322F2F6E" w:rsidR="00A670A7" w:rsidRPr="00A670A7" w:rsidRDefault="00A670A7" w:rsidP="00A670A7">
      <w:pPr>
        <w:pStyle w:val="Heading4"/>
      </w:pPr>
      <w:r>
        <w:t>2.</w:t>
      </w:r>
      <w:r w:rsidR="001D711A">
        <w:t>5</w:t>
      </w:r>
      <w:r>
        <w:t>.1.4</w:t>
      </w:r>
      <w:r>
        <w:tab/>
        <w:t>A</w:t>
      </w:r>
      <w:r w:rsidRPr="00A670A7">
        <w:t>ny other relevant matters</w:t>
      </w:r>
    </w:p>
    <w:p w14:paraId="3D42DB86" w14:textId="473F319A" w:rsidR="00A9526B" w:rsidRPr="008B5567" w:rsidRDefault="002162B6" w:rsidP="00A9526B">
      <w:bookmarkStart w:id="105" w:name="_Toc370223479"/>
      <w:bookmarkStart w:id="106" w:name="_Toc300761897"/>
      <w:bookmarkStart w:id="107" w:name="_Toc300933440"/>
      <w:r>
        <w:t>O</w:t>
      </w:r>
      <w:r w:rsidR="00001DE9">
        <w:t>ther relevant matters</w:t>
      </w:r>
      <w:r>
        <w:t xml:space="preserve"> are considered below</w:t>
      </w:r>
      <w:r w:rsidR="00001DE9">
        <w:t>.</w:t>
      </w:r>
    </w:p>
    <w:p w14:paraId="1C7E08F2" w14:textId="34BA94CE" w:rsidR="00A670A7" w:rsidRPr="00A670A7" w:rsidRDefault="00A670A7" w:rsidP="00A670A7">
      <w:pPr>
        <w:pStyle w:val="Heading3"/>
      </w:pPr>
      <w:bookmarkStart w:id="108" w:name="_Toc493774541"/>
      <w:r w:rsidRPr="00A670A7">
        <w:t>2.</w:t>
      </w:r>
      <w:r w:rsidR="001D711A">
        <w:t>5</w:t>
      </w:r>
      <w:r w:rsidRPr="00A670A7">
        <w:t>.2</w:t>
      </w:r>
      <w:r w:rsidRPr="00A670A7">
        <w:tab/>
        <w:t>Subsection 18(1)</w:t>
      </w:r>
      <w:bookmarkEnd w:id="105"/>
      <w:bookmarkEnd w:id="108"/>
      <w:r w:rsidRPr="00A670A7">
        <w:t xml:space="preserve"> </w:t>
      </w:r>
      <w:bookmarkEnd w:id="106"/>
      <w:bookmarkEnd w:id="107"/>
    </w:p>
    <w:p w14:paraId="2A29FE1D" w14:textId="77777777" w:rsidR="00A670A7" w:rsidRPr="00A670A7" w:rsidRDefault="00A670A7" w:rsidP="00A670A7">
      <w:r w:rsidRPr="00A670A7">
        <w:rPr>
          <w:rFonts w:cs="Arial"/>
        </w:rPr>
        <w:t xml:space="preserve">FSANZ has also </w:t>
      </w:r>
      <w:r w:rsidRPr="00A670A7">
        <w:t>considered the three objectives in subsection 18(1) of the FSANZ Act during the assessment.</w:t>
      </w:r>
    </w:p>
    <w:p w14:paraId="28065BFA" w14:textId="0AE52587" w:rsidR="00A670A7" w:rsidRPr="00A670A7" w:rsidRDefault="00A670A7" w:rsidP="00A670A7">
      <w:pPr>
        <w:pStyle w:val="Heading4"/>
        <w:rPr>
          <w:lang w:eastAsia="en-AU"/>
        </w:rPr>
      </w:pPr>
      <w:bookmarkStart w:id="109" w:name="_Toc297029117"/>
      <w:bookmarkStart w:id="110" w:name="_Toc300761898"/>
      <w:bookmarkStart w:id="111" w:name="_Toc300933441"/>
      <w:r w:rsidRPr="00A670A7">
        <w:rPr>
          <w:lang w:eastAsia="en-AU"/>
        </w:rPr>
        <w:t>2.</w:t>
      </w:r>
      <w:r w:rsidR="001D711A">
        <w:rPr>
          <w:lang w:eastAsia="en-AU"/>
        </w:rPr>
        <w:t>5</w:t>
      </w:r>
      <w:r w:rsidRPr="00A670A7">
        <w:rPr>
          <w:lang w:eastAsia="en-AU"/>
        </w:rPr>
        <w:t>.2.1</w:t>
      </w:r>
      <w:r w:rsidRPr="00A670A7">
        <w:rPr>
          <w:lang w:eastAsia="en-AU"/>
        </w:rPr>
        <w:tab/>
        <w:t>Protection of public health and safety</w:t>
      </w:r>
      <w:bookmarkEnd w:id="109"/>
      <w:bookmarkEnd w:id="110"/>
      <w:bookmarkEnd w:id="111"/>
    </w:p>
    <w:p w14:paraId="5820739F" w14:textId="7B222AA5" w:rsidR="003C00B1" w:rsidRDefault="003C00B1" w:rsidP="00A670A7">
      <w:pPr>
        <w:rPr>
          <w:lang w:val="en-AU"/>
        </w:rPr>
      </w:pPr>
      <w:r w:rsidRPr="003C00B1">
        <w:t xml:space="preserve">FSANZ’s assessment, based on the best scientific evidence currently available, is that there is a negligible </w:t>
      </w:r>
      <w:r w:rsidRPr="003C00B1">
        <w:rPr>
          <w:lang w:val="en-AU"/>
        </w:rPr>
        <w:t>likelihood of health and safety risks for the Australian and New Zealand populations</w:t>
      </w:r>
      <w:r>
        <w:rPr>
          <w:lang w:val="en-AU"/>
        </w:rPr>
        <w:t xml:space="preserve"> arising from chemical migration from packaging into food. </w:t>
      </w:r>
      <w:r w:rsidR="00996712">
        <w:rPr>
          <w:lang w:val="en-AU"/>
        </w:rPr>
        <w:t xml:space="preserve">Therefore </w:t>
      </w:r>
      <w:r w:rsidR="00996712" w:rsidRPr="00996712">
        <w:rPr>
          <w:lang w:val="en-AU"/>
        </w:rPr>
        <w:t>imposing regulatory measures such as setting maximum limits for packaging chemicals is not warranted</w:t>
      </w:r>
      <w:r w:rsidR="00996712">
        <w:rPr>
          <w:lang w:val="en-AU"/>
        </w:rPr>
        <w:t xml:space="preserve">. </w:t>
      </w:r>
      <w:r w:rsidR="00177D9E">
        <w:rPr>
          <w:lang w:val="en-AU"/>
        </w:rPr>
        <w:t xml:space="preserve"> However, FSANZ has identified suitable non-regulatory measures for this Proposal (see 2.2.4). </w:t>
      </w:r>
    </w:p>
    <w:p w14:paraId="77292BAF" w14:textId="17DC3E75" w:rsidR="00A670A7" w:rsidRDefault="00A670A7" w:rsidP="00A670A7">
      <w:pPr>
        <w:pStyle w:val="Heading4"/>
        <w:rPr>
          <w:lang w:eastAsia="en-AU"/>
        </w:rPr>
      </w:pPr>
      <w:bookmarkStart w:id="112" w:name="_Toc300761899"/>
      <w:bookmarkStart w:id="113" w:name="_Toc300933442"/>
      <w:r w:rsidRPr="00A670A7">
        <w:rPr>
          <w:lang w:eastAsia="en-AU"/>
        </w:rPr>
        <w:t>2.</w:t>
      </w:r>
      <w:r w:rsidR="001D711A">
        <w:rPr>
          <w:lang w:eastAsia="en-AU"/>
        </w:rPr>
        <w:t>5.</w:t>
      </w:r>
      <w:r w:rsidRPr="00A670A7">
        <w:rPr>
          <w:lang w:eastAsia="en-AU"/>
        </w:rPr>
        <w:t>2.2</w:t>
      </w:r>
      <w:r w:rsidRPr="00A670A7">
        <w:rPr>
          <w:lang w:eastAsia="en-AU"/>
        </w:rPr>
        <w:tab/>
        <w:t>The provision of adequate information relating to food to enable consumers to make informed choices</w:t>
      </w:r>
      <w:bookmarkEnd w:id="112"/>
      <w:bookmarkEnd w:id="113"/>
    </w:p>
    <w:p w14:paraId="19EB9883" w14:textId="4BECB785" w:rsidR="00520670" w:rsidRPr="00520670" w:rsidRDefault="00FD6A69" w:rsidP="003C00B1">
      <w:pPr>
        <w:rPr>
          <w:lang w:eastAsia="en-AU" w:bidi="ar-SA"/>
        </w:rPr>
      </w:pPr>
      <w:r w:rsidRPr="00FD6A69">
        <w:rPr>
          <w:lang w:eastAsia="en-AU" w:bidi="ar-SA"/>
        </w:rPr>
        <w:t>There is no evidence that a problem currently exists in terms of provision of information to consumers in order for them to make informed choices in this area</w:t>
      </w:r>
      <w:r>
        <w:rPr>
          <w:lang w:eastAsia="en-AU" w:bidi="ar-SA"/>
        </w:rPr>
        <w:t>.</w:t>
      </w:r>
      <w:r w:rsidR="00996712">
        <w:rPr>
          <w:lang w:eastAsia="en-AU" w:bidi="ar-SA"/>
        </w:rPr>
        <w:t xml:space="preserve"> However</w:t>
      </w:r>
      <w:r w:rsidR="002162B6">
        <w:rPr>
          <w:lang w:eastAsia="en-AU" w:bidi="ar-SA"/>
        </w:rPr>
        <w:t>,</w:t>
      </w:r>
      <w:r w:rsidR="00996712">
        <w:rPr>
          <w:lang w:eastAsia="en-AU" w:bidi="ar-SA"/>
        </w:rPr>
        <w:t xml:space="preserve"> the proposed</w:t>
      </w:r>
      <w:r w:rsidR="004C00D9">
        <w:rPr>
          <w:lang w:eastAsia="en-AU" w:bidi="ar-SA"/>
        </w:rPr>
        <w:t xml:space="preserve"> food</w:t>
      </w:r>
      <w:r w:rsidR="00996712">
        <w:rPr>
          <w:lang w:eastAsia="en-AU" w:bidi="ar-SA"/>
        </w:rPr>
        <w:t xml:space="preserve"> packaging information guide </w:t>
      </w:r>
      <w:r>
        <w:rPr>
          <w:lang w:eastAsia="en-AU" w:bidi="ar-SA"/>
        </w:rPr>
        <w:t xml:space="preserve">may </w:t>
      </w:r>
      <w:r w:rsidR="00996712">
        <w:rPr>
          <w:lang w:eastAsia="en-AU" w:bidi="ar-SA"/>
        </w:rPr>
        <w:t>include information targeted to consumer</w:t>
      </w:r>
      <w:r w:rsidR="004C00D9">
        <w:rPr>
          <w:lang w:eastAsia="en-AU" w:bidi="ar-SA"/>
        </w:rPr>
        <w:t xml:space="preserve">s to </w:t>
      </w:r>
      <w:r w:rsidR="00333386">
        <w:rPr>
          <w:lang w:eastAsia="en-AU" w:bidi="ar-SA"/>
        </w:rPr>
        <w:t xml:space="preserve">inform </w:t>
      </w:r>
      <w:r w:rsidR="00996712">
        <w:rPr>
          <w:lang w:eastAsia="en-AU" w:bidi="ar-SA"/>
        </w:rPr>
        <w:t>the</w:t>
      </w:r>
      <w:r w:rsidR="00333386">
        <w:rPr>
          <w:lang w:eastAsia="en-AU" w:bidi="ar-SA"/>
        </w:rPr>
        <w:t>m about</w:t>
      </w:r>
      <w:r w:rsidR="00996712">
        <w:rPr>
          <w:lang w:eastAsia="en-AU" w:bidi="ar-SA"/>
        </w:rPr>
        <w:t xml:space="preserve"> potential risks of chemical migration f</w:t>
      </w:r>
      <w:r w:rsidR="00111633">
        <w:rPr>
          <w:lang w:eastAsia="en-AU" w:bidi="ar-SA"/>
        </w:rPr>
        <w:t>ro</w:t>
      </w:r>
      <w:r w:rsidR="00996712">
        <w:rPr>
          <w:lang w:eastAsia="en-AU" w:bidi="ar-SA"/>
        </w:rPr>
        <w:t xml:space="preserve">m food packaging. </w:t>
      </w:r>
    </w:p>
    <w:p w14:paraId="53EC5C4C" w14:textId="5D39B213" w:rsidR="00A670A7" w:rsidRPr="00A670A7" w:rsidRDefault="00A670A7" w:rsidP="00A670A7">
      <w:pPr>
        <w:pStyle w:val="Heading4"/>
        <w:rPr>
          <w:lang w:eastAsia="en-AU"/>
        </w:rPr>
      </w:pPr>
      <w:bookmarkStart w:id="114" w:name="_Toc300761900"/>
      <w:bookmarkStart w:id="115" w:name="_Toc300933443"/>
      <w:r w:rsidRPr="00A670A7">
        <w:rPr>
          <w:lang w:eastAsia="en-AU"/>
        </w:rPr>
        <w:t>2.</w:t>
      </w:r>
      <w:r w:rsidR="001D711A">
        <w:rPr>
          <w:lang w:eastAsia="en-AU"/>
        </w:rPr>
        <w:t>5</w:t>
      </w:r>
      <w:r w:rsidRPr="00A670A7">
        <w:rPr>
          <w:lang w:eastAsia="en-AU"/>
        </w:rPr>
        <w:t>.2.3</w:t>
      </w:r>
      <w:r w:rsidRPr="00A670A7">
        <w:rPr>
          <w:lang w:eastAsia="en-AU"/>
        </w:rPr>
        <w:tab/>
        <w:t>The prevention of misleading or deceptive conduct</w:t>
      </w:r>
      <w:bookmarkEnd w:id="114"/>
      <w:bookmarkEnd w:id="115"/>
    </w:p>
    <w:p w14:paraId="2D9DB836" w14:textId="1369F313" w:rsidR="00A670A7" w:rsidRPr="003C00B1" w:rsidRDefault="00800373" w:rsidP="00A670A7">
      <w:r>
        <w:t>There is no evidence that a problem exists in terms of misleading or deceptive conduct</w:t>
      </w:r>
      <w:r w:rsidR="00CF0BE1">
        <w:t>.</w:t>
      </w:r>
    </w:p>
    <w:p w14:paraId="16B0C470" w14:textId="56BC11FC" w:rsidR="00A670A7" w:rsidRPr="00A670A7" w:rsidRDefault="00A670A7" w:rsidP="00A670A7">
      <w:pPr>
        <w:pStyle w:val="Heading3"/>
      </w:pPr>
      <w:bookmarkStart w:id="116" w:name="_Toc300761901"/>
      <w:bookmarkStart w:id="117" w:name="_Toc300933444"/>
      <w:bookmarkStart w:id="118" w:name="_Toc370223480"/>
      <w:bookmarkStart w:id="119" w:name="_Toc493774542"/>
      <w:r w:rsidRPr="00A670A7">
        <w:t>2.</w:t>
      </w:r>
      <w:r w:rsidR="001D711A">
        <w:t>5</w:t>
      </w:r>
      <w:r w:rsidRPr="00A670A7">
        <w:t>.3</w:t>
      </w:r>
      <w:r w:rsidRPr="00A670A7">
        <w:tab/>
        <w:t xml:space="preserve">Subsection 18(2) </w:t>
      </w:r>
      <w:bookmarkEnd w:id="116"/>
      <w:bookmarkEnd w:id="117"/>
      <w:r w:rsidRPr="00A670A7">
        <w:t>considerations</w:t>
      </w:r>
      <w:bookmarkEnd w:id="118"/>
      <w:bookmarkEnd w:id="119"/>
    </w:p>
    <w:p w14:paraId="166CC7D8" w14:textId="77777777" w:rsidR="00A670A7" w:rsidRPr="00A670A7" w:rsidRDefault="00A670A7" w:rsidP="00A670A7">
      <w:pPr>
        <w:rPr>
          <w:rFonts w:cs="Arial"/>
        </w:rPr>
      </w:pPr>
      <w:r w:rsidRPr="00A670A7">
        <w:rPr>
          <w:rFonts w:cs="Arial"/>
        </w:rPr>
        <w:t>FSANZ has also had regard to:</w:t>
      </w:r>
    </w:p>
    <w:p w14:paraId="663B6410" w14:textId="77777777" w:rsidR="00A670A7" w:rsidRPr="00A670A7" w:rsidRDefault="00A670A7" w:rsidP="00A670A7">
      <w:pPr>
        <w:rPr>
          <w:rFonts w:cs="Arial"/>
        </w:rPr>
      </w:pPr>
    </w:p>
    <w:p w14:paraId="0F7A954E" w14:textId="77777777" w:rsidR="00A670A7" w:rsidRPr="00B71F00" w:rsidRDefault="00A670A7" w:rsidP="00057294">
      <w:pPr>
        <w:pStyle w:val="FSBullet1"/>
      </w:pPr>
      <w:r w:rsidRPr="00B71F00">
        <w:t>the need for standards to be based on risk analysis using the best available scientific evidence</w:t>
      </w:r>
    </w:p>
    <w:p w14:paraId="6CBE7C7E" w14:textId="77777777" w:rsidR="00A670A7" w:rsidRPr="00A670A7" w:rsidRDefault="00A670A7" w:rsidP="00A670A7">
      <w:pPr>
        <w:rPr>
          <w:lang w:bidi="ar-SA"/>
        </w:rPr>
      </w:pPr>
    </w:p>
    <w:p w14:paraId="7D1C2865" w14:textId="1C6B0CD6" w:rsidR="003C00B1" w:rsidRPr="003C00B1" w:rsidRDefault="003C00B1" w:rsidP="003C00B1">
      <w:pPr>
        <w:rPr>
          <w:lang w:bidi="ar-SA"/>
        </w:rPr>
      </w:pPr>
      <w:r w:rsidRPr="003C00B1">
        <w:rPr>
          <w:lang w:bidi="ar-SA"/>
        </w:rPr>
        <w:t>FSANZ’s risk assessment (</w:t>
      </w:r>
      <w:r w:rsidR="00CF0BE1">
        <w:rPr>
          <w:lang w:bidi="ar-SA"/>
        </w:rPr>
        <w:t>see Supporting Document</w:t>
      </w:r>
      <w:r w:rsidR="009C2C03">
        <w:rPr>
          <w:lang w:bidi="ar-SA"/>
        </w:rPr>
        <w:t xml:space="preserve"> 3</w:t>
      </w:r>
      <w:r w:rsidR="00CF0BE1">
        <w:rPr>
          <w:lang w:bidi="ar-SA"/>
        </w:rPr>
        <w:t>)</w:t>
      </w:r>
      <w:r w:rsidRPr="003C00B1">
        <w:rPr>
          <w:lang w:bidi="ar-SA"/>
        </w:rPr>
        <w:t xml:space="preserve"> was based on the best scientific evidence currently available.</w:t>
      </w:r>
    </w:p>
    <w:p w14:paraId="36207A66" w14:textId="77777777" w:rsidR="00A670A7" w:rsidRPr="00A670A7" w:rsidRDefault="00A670A7" w:rsidP="00A670A7">
      <w:pPr>
        <w:rPr>
          <w:lang w:bidi="ar-SA"/>
        </w:rPr>
      </w:pPr>
    </w:p>
    <w:p w14:paraId="17046D07" w14:textId="77777777" w:rsidR="00A670A7" w:rsidRPr="00B71F00" w:rsidRDefault="00A670A7" w:rsidP="00057294">
      <w:pPr>
        <w:pStyle w:val="FSBullet1"/>
      </w:pPr>
      <w:r w:rsidRPr="00B71F00">
        <w:t>the promotion of consistency between domestic and international food standards</w:t>
      </w:r>
    </w:p>
    <w:p w14:paraId="1FD77472" w14:textId="77777777" w:rsidR="00A670A7" w:rsidRPr="00A670A7" w:rsidRDefault="00A670A7" w:rsidP="00A670A7">
      <w:pPr>
        <w:rPr>
          <w:lang w:bidi="ar-SA"/>
        </w:rPr>
      </w:pPr>
    </w:p>
    <w:p w14:paraId="44A9922C" w14:textId="452A8EAA" w:rsidR="00ED2794" w:rsidRDefault="00D056F3" w:rsidP="003C00B1">
      <w:pPr>
        <w:rPr>
          <w:lang w:bidi="ar-SA"/>
        </w:rPr>
      </w:pPr>
      <w:r>
        <w:rPr>
          <w:lang w:bidi="ar-SA"/>
        </w:rPr>
        <w:t>We examined international standards for managing CPMF (see June 2016 Call for Submission</w:t>
      </w:r>
      <w:r w:rsidR="000352B2">
        <w:rPr>
          <w:lang w:bidi="ar-SA"/>
        </w:rPr>
        <w:t xml:space="preserve">s </w:t>
      </w:r>
      <w:r>
        <w:rPr>
          <w:lang w:bidi="ar-SA"/>
        </w:rPr>
        <w:t xml:space="preserve">paper) and </w:t>
      </w:r>
      <w:r w:rsidR="00ED2794">
        <w:rPr>
          <w:lang w:bidi="ar-SA"/>
        </w:rPr>
        <w:t xml:space="preserve">some </w:t>
      </w:r>
      <w:r>
        <w:rPr>
          <w:lang w:bidi="ar-SA"/>
        </w:rPr>
        <w:t>submi</w:t>
      </w:r>
      <w:r w:rsidR="00ED2794">
        <w:rPr>
          <w:lang w:bidi="ar-SA"/>
        </w:rPr>
        <w:t>ssions</w:t>
      </w:r>
      <w:r>
        <w:rPr>
          <w:lang w:bidi="ar-SA"/>
        </w:rPr>
        <w:t xml:space="preserve"> </w:t>
      </w:r>
      <w:r w:rsidR="00ED2794">
        <w:rPr>
          <w:lang w:bidi="ar-SA"/>
        </w:rPr>
        <w:t>noted that adoption of other countries regulations c</w:t>
      </w:r>
      <w:r>
        <w:rPr>
          <w:lang w:bidi="ar-SA"/>
        </w:rPr>
        <w:t xml:space="preserve">ould provide industry-wide conformity and added health and safety benefits.  </w:t>
      </w:r>
    </w:p>
    <w:p w14:paraId="5988FB00" w14:textId="77777777" w:rsidR="00ED2794" w:rsidRDefault="00ED2794" w:rsidP="003C00B1">
      <w:pPr>
        <w:rPr>
          <w:lang w:bidi="ar-SA"/>
        </w:rPr>
      </w:pPr>
    </w:p>
    <w:p w14:paraId="73E63889" w14:textId="0B2D5EF5" w:rsidR="00ED2794" w:rsidRDefault="00ED2794" w:rsidP="003C00B1">
      <w:pPr>
        <w:rPr>
          <w:lang w:bidi="ar-SA"/>
        </w:rPr>
      </w:pPr>
      <w:r>
        <w:rPr>
          <w:lang w:bidi="ar-SA"/>
        </w:rPr>
        <w:t>However, b</w:t>
      </w:r>
      <w:r w:rsidRPr="00ED2794">
        <w:rPr>
          <w:lang w:bidi="ar-SA"/>
        </w:rPr>
        <w:t xml:space="preserve">ased on the risk assessment work, </w:t>
      </w:r>
      <w:r>
        <w:rPr>
          <w:lang w:bidi="ar-SA"/>
        </w:rPr>
        <w:t xml:space="preserve">there was insufficient </w:t>
      </w:r>
      <w:r w:rsidRPr="00ED2794">
        <w:rPr>
          <w:lang w:bidi="ar-SA"/>
        </w:rPr>
        <w:t xml:space="preserve">evidence </w:t>
      </w:r>
      <w:r>
        <w:rPr>
          <w:lang w:bidi="ar-SA"/>
        </w:rPr>
        <w:t xml:space="preserve">indicating </w:t>
      </w:r>
      <w:r w:rsidRPr="00ED2794">
        <w:rPr>
          <w:lang w:bidi="ar-SA"/>
        </w:rPr>
        <w:t>that the Code needs to be strengthened</w:t>
      </w:r>
      <w:r w:rsidR="000352B2">
        <w:rPr>
          <w:lang w:bidi="ar-SA"/>
        </w:rPr>
        <w:t xml:space="preserve"> </w:t>
      </w:r>
      <w:r>
        <w:rPr>
          <w:lang w:bidi="ar-SA"/>
        </w:rPr>
        <w:t>through adoption of other countries regulations</w:t>
      </w:r>
      <w:r w:rsidR="002811B3">
        <w:rPr>
          <w:lang w:bidi="ar-SA"/>
        </w:rPr>
        <w:t xml:space="preserve">. FSANZ </w:t>
      </w:r>
      <w:r>
        <w:rPr>
          <w:lang w:bidi="ar-SA"/>
        </w:rPr>
        <w:t xml:space="preserve">has also </w:t>
      </w:r>
      <w:r w:rsidR="002811B3">
        <w:rPr>
          <w:lang w:bidi="ar-SA"/>
        </w:rPr>
        <w:t xml:space="preserve">concluded that </w:t>
      </w:r>
      <w:r>
        <w:rPr>
          <w:lang w:bidi="ar-SA"/>
        </w:rPr>
        <w:t xml:space="preserve">promotion of </w:t>
      </w:r>
      <w:r w:rsidR="002811B3">
        <w:rPr>
          <w:lang w:bidi="ar-SA"/>
        </w:rPr>
        <w:t xml:space="preserve">consistency </w:t>
      </w:r>
      <w:r>
        <w:rPr>
          <w:lang w:bidi="ar-SA"/>
        </w:rPr>
        <w:t xml:space="preserve">between </w:t>
      </w:r>
      <w:r w:rsidRPr="00ED2794">
        <w:rPr>
          <w:lang w:bidi="ar-SA"/>
        </w:rPr>
        <w:t xml:space="preserve">domestic and international food standards </w:t>
      </w:r>
      <w:r w:rsidR="002811B3">
        <w:rPr>
          <w:lang w:bidi="ar-SA"/>
        </w:rPr>
        <w:t xml:space="preserve">can be achieved through provision of </w:t>
      </w:r>
      <w:r>
        <w:rPr>
          <w:lang w:bidi="ar-SA"/>
        </w:rPr>
        <w:t>additional</w:t>
      </w:r>
      <w:r w:rsidR="002811B3">
        <w:rPr>
          <w:lang w:bidi="ar-SA"/>
        </w:rPr>
        <w:t xml:space="preserve"> information on international regulat</w:t>
      </w:r>
      <w:r>
        <w:rPr>
          <w:lang w:bidi="ar-SA"/>
        </w:rPr>
        <w:t>ory systems</w:t>
      </w:r>
      <w:r w:rsidR="002811B3">
        <w:rPr>
          <w:lang w:bidi="ar-SA"/>
        </w:rPr>
        <w:t xml:space="preserve"> through t</w:t>
      </w:r>
      <w:r>
        <w:rPr>
          <w:lang w:bidi="ar-SA"/>
        </w:rPr>
        <w:t>he food packaging information guide.</w:t>
      </w:r>
      <w:r w:rsidR="002811B3">
        <w:rPr>
          <w:lang w:bidi="ar-SA"/>
        </w:rPr>
        <w:t xml:space="preserve"> </w:t>
      </w:r>
    </w:p>
    <w:p w14:paraId="2D22C09F" w14:textId="77777777" w:rsidR="00ED2794" w:rsidRDefault="00ED2794" w:rsidP="003C00B1">
      <w:pPr>
        <w:rPr>
          <w:lang w:bidi="ar-SA"/>
        </w:rPr>
      </w:pPr>
    </w:p>
    <w:p w14:paraId="4C25A3C7" w14:textId="6669AF7F" w:rsidR="003C00B1" w:rsidRDefault="00ED2794" w:rsidP="003C00B1">
      <w:pPr>
        <w:rPr>
          <w:lang w:bidi="ar-SA"/>
        </w:rPr>
      </w:pPr>
      <w:r>
        <w:rPr>
          <w:lang w:bidi="ar-SA"/>
        </w:rPr>
        <w:t>Therefore, n</w:t>
      </w:r>
      <w:r w:rsidR="003C00B1" w:rsidRPr="003C00B1">
        <w:rPr>
          <w:lang w:bidi="ar-SA"/>
        </w:rPr>
        <w:t>o change is proposed to the relevant standards.</w:t>
      </w:r>
    </w:p>
    <w:p w14:paraId="5FAB1516" w14:textId="77777777" w:rsidR="00F500D1" w:rsidRPr="003C00B1" w:rsidRDefault="00F500D1" w:rsidP="003C00B1">
      <w:pPr>
        <w:rPr>
          <w:lang w:bidi="ar-SA"/>
        </w:rPr>
      </w:pPr>
    </w:p>
    <w:p w14:paraId="05278AEA" w14:textId="77777777" w:rsidR="00A670A7" w:rsidRPr="00A670A7" w:rsidRDefault="00A670A7" w:rsidP="00057294">
      <w:pPr>
        <w:pStyle w:val="FSBullet1"/>
      </w:pPr>
      <w:r w:rsidRPr="00A670A7">
        <w:t>the desirability of an efficient and internationally competitive food industry</w:t>
      </w:r>
    </w:p>
    <w:p w14:paraId="5908E7D5" w14:textId="77777777" w:rsidR="00A670A7" w:rsidRPr="00A670A7" w:rsidRDefault="00A670A7" w:rsidP="00A670A7">
      <w:pPr>
        <w:rPr>
          <w:lang w:bidi="ar-SA"/>
        </w:rPr>
      </w:pPr>
    </w:p>
    <w:p w14:paraId="0CF14AB2" w14:textId="6614B283" w:rsidR="003C00B1" w:rsidRDefault="002162B6" w:rsidP="003C00B1">
      <w:pPr>
        <w:rPr>
          <w:lang w:bidi="ar-SA"/>
        </w:rPr>
      </w:pPr>
      <w:r>
        <w:rPr>
          <w:lang w:bidi="ar-SA"/>
        </w:rPr>
        <w:t xml:space="preserve">This </w:t>
      </w:r>
      <w:r w:rsidR="00800373">
        <w:rPr>
          <w:lang w:bidi="ar-SA"/>
        </w:rPr>
        <w:t xml:space="preserve">decision taken </w:t>
      </w:r>
      <w:r>
        <w:rPr>
          <w:lang w:bidi="ar-SA"/>
        </w:rPr>
        <w:t>is</w:t>
      </w:r>
      <w:r w:rsidRPr="004C28F3">
        <w:rPr>
          <w:lang w:bidi="ar-SA"/>
        </w:rPr>
        <w:t xml:space="preserve"> </w:t>
      </w:r>
      <w:r w:rsidRPr="00AC31FD">
        <w:rPr>
          <w:rFonts w:cs="Arial"/>
        </w:rPr>
        <w:t xml:space="preserve">commensurate with </w:t>
      </w:r>
      <w:r w:rsidR="00800373">
        <w:rPr>
          <w:rFonts w:cs="Arial"/>
        </w:rPr>
        <w:t xml:space="preserve">the assessed </w:t>
      </w:r>
      <w:r w:rsidRPr="00AC31FD">
        <w:rPr>
          <w:rFonts w:cs="Arial"/>
        </w:rPr>
        <w:t xml:space="preserve">risk and </w:t>
      </w:r>
      <w:r>
        <w:rPr>
          <w:rFonts w:cs="Arial"/>
        </w:rPr>
        <w:t xml:space="preserve">does </w:t>
      </w:r>
      <w:r w:rsidRPr="00AC31FD">
        <w:rPr>
          <w:rFonts w:cs="Arial"/>
        </w:rPr>
        <w:t xml:space="preserve">not impose any unnecessary additional economic burden on the </w:t>
      </w:r>
      <w:r w:rsidR="00800373">
        <w:rPr>
          <w:rFonts w:cs="Arial"/>
        </w:rPr>
        <w:t>food</w:t>
      </w:r>
      <w:r w:rsidRPr="00AC31FD">
        <w:rPr>
          <w:rFonts w:cs="Arial"/>
        </w:rPr>
        <w:t xml:space="preserve"> industry</w:t>
      </w:r>
      <w:r w:rsidR="003C00B1">
        <w:rPr>
          <w:lang w:bidi="ar-SA"/>
        </w:rPr>
        <w:t xml:space="preserve">. </w:t>
      </w:r>
    </w:p>
    <w:p w14:paraId="73728243" w14:textId="77777777" w:rsidR="00A670A7" w:rsidRPr="00A670A7" w:rsidRDefault="00A670A7" w:rsidP="00A670A7">
      <w:pPr>
        <w:rPr>
          <w:lang w:bidi="ar-SA"/>
        </w:rPr>
      </w:pPr>
    </w:p>
    <w:p w14:paraId="0AFC3FAD" w14:textId="77777777" w:rsidR="00A670A7" w:rsidRPr="00A670A7" w:rsidRDefault="00A670A7" w:rsidP="00057294">
      <w:pPr>
        <w:pStyle w:val="FSBullet1"/>
      </w:pPr>
      <w:r w:rsidRPr="00A670A7">
        <w:t>the promotion of fair trading in food</w:t>
      </w:r>
    </w:p>
    <w:p w14:paraId="0A238294" w14:textId="77777777" w:rsidR="00A670A7" w:rsidRPr="00A670A7" w:rsidRDefault="00A670A7" w:rsidP="00A670A7">
      <w:pPr>
        <w:rPr>
          <w:lang w:bidi="ar-SA"/>
        </w:rPr>
      </w:pPr>
    </w:p>
    <w:p w14:paraId="3CBF2BD8" w14:textId="29279C4D" w:rsidR="003C00B1" w:rsidRPr="003C00B1" w:rsidRDefault="00800373" w:rsidP="003C00B1">
      <w:r>
        <w:t xml:space="preserve">There is no evidence that a problem exists in this regard. </w:t>
      </w:r>
    </w:p>
    <w:p w14:paraId="4ED7CD22" w14:textId="77777777" w:rsidR="00A670A7" w:rsidRPr="00A670A7" w:rsidRDefault="00A670A7" w:rsidP="00A670A7">
      <w:pPr>
        <w:rPr>
          <w:lang w:bidi="ar-SA"/>
        </w:rPr>
      </w:pPr>
    </w:p>
    <w:p w14:paraId="47E58232" w14:textId="77777777" w:rsidR="00A670A7" w:rsidRPr="00A670A7" w:rsidRDefault="00A670A7" w:rsidP="00057294">
      <w:pPr>
        <w:pStyle w:val="FSBullet1"/>
      </w:pPr>
      <w:r w:rsidRPr="00A670A7">
        <w:t xml:space="preserve">any written policy guidelines formulated by the </w:t>
      </w:r>
      <w:r w:rsidR="00B71F00">
        <w:t>Forum on Food Regulation</w:t>
      </w:r>
    </w:p>
    <w:p w14:paraId="4AC080C5" w14:textId="77777777" w:rsidR="00A670A7" w:rsidRPr="00A670A7" w:rsidRDefault="00A670A7" w:rsidP="00A670A7">
      <w:pPr>
        <w:rPr>
          <w:lang w:bidi="ar-SA"/>
        </w:rPr>
      </w:pPr>
    </w:p>
    <w:p w14:paraId="0D839A09" w14:textId="43113F35" w:rsidR="003C00B1" w:rsidRPr="003C00B1" w:rsidRDefault="002162B6" w:rsidP="003C00B1">
      <w:r>
        <w:t>There are no relevant policy guidelines</w:t>
      </w:r>
      <w:r w:rsidR="003C00B1" w:rsidRPr="003C00B1">
        <w:t>.</w:t>
      </w:r>
    </w:p>
    <w:p w14:paraId="134DC9CF" w14:textId="7E924B61" w:rsidR="00A670A7" w:rsidRPr="00A670A7" w:rsidRDefault="003C00B1" w:rsidP="00A670A7">
      <w:r w:rsidRPr="00FB7CDC">
        <w:rPr>
          <w:color w:val="00B050"/>
        </w:rPr>
        <w:t xml:space="preserve"> </w:t>
      </w:r>
    </w:p>
    <w:p w14:paraId="2A43CEFC" w14:textId="77777777" w:rsidR="008C301D" w:rsidRPr="008C301D" w:rsidRDefault="00191631" w:rsidP="00191631">
      <w:pPr>
        <w:pStyle w:val="Heading1"/>
      </w:pPr>
      <w:bookmarkStart w:id="120" w:name="_Toc493774543"/>
      <w:r>
        <w:t>3</w:t>
      </w:r>
      <w:r w:rsidR="008C301D" w:rsidRPr="008C301D">
        <w:tab/>
        <w:t>Rights of review</w:t>
      </w:r>
      <w:bookmarkEnd w:id="120"/>
    </w:p>
    <w:p w14:paraId="417F3607" w14:textId="77777777" w:rsidR="002162B6" w:rsidRDefault="002162B6" w:rsidP="002162B6">
      <w:r>
        <w:rPr>
          <w:lang w:bidi="ar-SA"/>
        </w:rPr>
        <w:t>Subparagraph 143(1)(b)(ii) of the FSANZ Act allows a person whose interests are affected by FSANZ’s decision to abandon this Proposal to apply to the Administrative Appeals Tribunal for a review of that decision.</w:t>
      </w:r>
    </w:p>
    <w:p w14:paraId="48487A0B" w14:textId="77777777" w:rsidR="002162B6" w:rsidRDefault="002162B6" w:rsidP="002162B6"/>
    <w:p w14:paraId="066869A6" w14:textId="665C669B" w:rsidR="005967A1" w:rsidRPr="008C301D" w:rsidRDefault="002162B6" w:rsidP="001D711A">
      <w:r>
        <w:rPr>
          <w:lang w:bidi="ar-SA"/>
        </w:rPr>
        <w:t xml:space="preserve">This right of review is subject to </w:t>
      </w:r>
      <w:r>
        <w:rPr>
          <w:szCs w:val="22"/>
        </w:rPr>
        <w:t xml:space="preserve">the </w:t>
      </w:r>
      <w:r>
        <w:rPr>
          <w:i/>
          <w:iCs/>
          <w:szCs w:val="22"/>
        </w:rPr>
        <w:t>Administrative Appeals Tribunal Act 1975</w:t>
      </w:r>
      <w:r>
        <w:rPr>
          <w:iCs/>
          <w:szCs w:val="22"/>
        </w:rPr>
        <w:t xml:space="preserve"> (the AAT Act). In other words, the AAT Act sets out the specific requirements relating to applications for review, for example, how such applications are made and processed; as well as procedures relating to the review itself</w:t>
      </w:r>
      <w:r w:rsidR="005967A1" w:rsidRPr="00CB5D88">
        <w:t>.</w:t>
      </w:r>
    </w:p>
    <w:bookmarkEnd w:id="102"/>
    <w:bookmarkEnd w:id="103"/>
    <w:bookmarkEnd w:id="104"/>
    <w:p w14:paraId="3A679B64" w14:textId="7FF61AA9" w:rsidR="00CB5D88" w:rsidRPr="003C00B1" w:rsidRDefault="00CB5D88" w:rsidP="003C00B1">
      <w:pPr>
        <w:rPr>
          <w:color w:val="FF0000"/>
          <w:sz w:val="20"/>
          <w:szCs w:val="20"/>
        </w:rPr>
      </w:pPr>
    </w:p>
    <w:p w14:paraId="33C11D60" w14:textId="6C660F66" w:rsidR="00AE006A" w:rsidRDefault="00AE006A" w:rsidP="00CB5D88">
      <w:pPr>
        <w:rPr>
          <w:color w:val="FF0000"/>
          <w:sz w:val="20"/>
          <w:szCs w:val="20"/>
        </w:rPr>
      </w:pPr>
      <w:r>
        <w:rPr>
          <w:color w:val="FF0000"/>
          <w:sz w:val="20"/>
          <w:szCs w:val="20"/>
        </w:rPr>
        <w:br w:type="page"/>
      </w:r>
    </w:p>
    <w:p w14:paraId="13827381" w14:textId="77777777" w:rsidR="00100482" w:rsidRPr="003040DC" w:rsidRDefault="00100482" w:rsidP="00100482">
      <w:pPr>
        <w:jc w:val="right"/>
        <w:rPr>
          <w:b/>
          <w:sz w:val="24"/>
        </w:rPr>
      </w:pPr>
      <w:r w:rsidRPr="003040DC">
        <w:rPr>
          <w:b/>
          <w:sz w:val="24"/>
        </w:rPr>
        <w:t xml:space="preserve">Attachment 1 </w:t>
      </w:r>
    </w:p>
    <w:p w14:paraId="74051C22" w14:textId="77777777" w:rsidR="00D248B6" w:rsidRDefault="00D248B6" w:rsidP="00100482">
      <w:pPr>
        <w:pStyle w:val="FSTableFigureHeading"/>
        <w:rPr>
          <w:lang w:bidi="en-US"/>
        </w:rPr>
      </w:pPr>
    </w:p>
    <w:p w14:paraId="0E95C9B9" w14:textId="33F39559" w:rsidR="00100482" w:rsidRDefault="00100482" w:rsidP="00100482">
      <w:pPr>
        <w:pStyle w:val="FSTableFigureHeading"/>
        <w:rPr>
          <w:lang w:bidi="en-US"/>
        </w:rPr>
      </w:pPr>
      <w:r>
        <w:rPr>
          <w:lang w:bidi="en-US"/>
        </w:rPr>
        <w:t>Chronological milestones of</w:t>
      </w:r>
      <w:r w:rsidRPr="003040DC">
        <w:rPr>
          <w:lang w:bidi="en-US"/>
        </w:rPr>
        <w:t xml:space="preserve"> FSANZ work on food packaging</w:t>
      </w:r>
      <w:r>
        <w:rPr>
          <w:lang w:bidi="en-US"/>
        </w:rPr>
        <w:t xml:space="preserve"> chemicals</w:t>
      </w:r>
    </w:p>
    <w:tbl>
      <w:tblPr>
        <w:tblStyle w:val="TableGrid"/>
        <w:tblW w:w="9322" w:type="dxa"/>
        <w:tblLook w:val="04A0" w:firstRow="1" w:lastRow="0" w:firstColumn="1" w:lastColumn="0" w:noHBand="0" w:noVBand="1"/>
        <w:tblCaption w:val="Chronology of FSANZ packaging work"/>
        <w:tblDescription w:val="This table summarises the key milestones of packaging work undertaken by FSANZ from 2007 to present. The first column indicates key miliestone, the second column gives a brief description of the outcomes and the third column gives the date of the milestone."/>
      </w:tblPr>
      <w:tblGrid>
        <w:gridCol w:w="2886"/>
        <w:gridCol w:w="5258"/>
        <w:gridCol w:w="1178"/>
      </w:tblGrid>
      <w:tr w:rsidR="00100482" w:rsidRPr="003040DC" w14:paraId="3C50160C" w14:textId="77777777" w:rsidTr="00217EEC">
        <w:trPr>
          <w:trHeight w:val="340"/>
          <w:tblHeader/>
        </w:trPr>
        <w:tc>
          <w:tcPr>
            <w:tcW w:w="2886" w:type="dxa"/>
            <w:shd w:val="clear" w:color="auto" w:fill="D9D9D9" w:themeFill="background1" w:themeFillShade="D9"/>
            <w:vAlign w:val="center"/>
          </w:tcPr>
          <w:p w14:paraId="2A6FC118" w14:textId="77777777" w:rsidR="00100482" w:rsidRPr="003040DC" w:rsidRDefault="00100482" w:rsidP="00726072">
            <w:pPr>
              <w:jc w:val="center"/>
              <w:rPr>
                <w:rFonts w:cs="Arial"/>
                <w:b/>
                <w:sz w:val="18"/>
                <w:szCs w:val="18"/>
              </w:rPr>
            </w:pPr>
            <w:r w:rsidRPr="003040DC">
              <w:rPr>
                <w:rFonts w:cs="Arial"/>
                <w:b/>
                <w:sz w:val="18"/>
                <w:szCs w:val="18"/>
              </w:rPr>
              <w:t>Milestone</w:t>
            </w:r>
          </w:p>
        </w:tc>
        <w:tc>
          <w:tcPr>
            <w:tcW w:w="5258" w:type="dxa"/>
            <w:shd w:val="clear" w:color="auto" w:fill="D9D9D9" w:themeFill="background1" w:themeFillShade="D9"/>
            <w:vAlign w:val="center"/>
          </w:tcPr>
          <w:p w14:paraId="1C4F7D21" w14:textId="77777777" w:rsidR="00100482" w:rsidRPr="003040DC" w:rsidRDefault="00100482" w:rsidP="00726072">
            <w:pPr>
              <w:jc w:val="center"/>
              <w:rPr>
                <w:rFonts w:cs="Arial"/>
                <w:b/>
                <w:sz w:val="18"/>
                <w:szCs w:val="18"/>
              </w:rPr>
            </w:pPr>
            <w:r>
              <w:rPr>
                <w:rFonts w:cs="Arial"/>
                <w:b/>
                <w:sz w:val="18"/>
                <w:szCs w:val="18"/>
              </w:rPr>
              <w:t xml:space="preserve">Main Outcome or </w:t>
            </w:r>
            <w:r w:rsidRPr="003040DC">
              <w:rPr>
                <w:rFonts w:cs="Arial"/>
                <w:b/>
                <w:sz w:val="18"/>
                <w:szCs w:val="18"/>
              </w:rPr>
              <w:t>Description</w:t>
            </w:r>
          </w:p>
        </w:tc>
        <w:tc>
          <w:tcPr>
            <w:tcW w:w="1178" w:type="dxa"/>
            <w:shd w:val="clear" w:color="auto" w:fill="D9D9D9" w:themeFill="background1" w:themeFillShade="D9"/>
            <w:vAlign w:val="center"/>
          </w:tcPr>
          <w:p w14:paraId="30801270" w14:textId="77777777" w:rsidR="00100482" w:rsidRPr="003040DC" w:rsidRDefault="00100482" w:rsidP="00726072">
            <w:pPr>
              <w:jc w:val="center"/>
              <w:rPr>
                <w:rFonts w:cs="Arial"/>
                <w:b/>
                <w:sz w:val="18"/>
                <w:szCs w:val="18"/>
              </w:rPr>
            </w:pPr>
            <w:r w:rsidRPr="003040DC">
              <w:rPr>
                <w:rFonts w:cs="Arial"/>
                <w:b/>
                <w:sz w:val="18"/>
                <w:szCs w:val="18"/>
              </w:rPr>
              <w:t>Date</w:t>
            </w:r>
          </w:p>
        </w:tc>
      </w:tr>
      <w:tr w:rsidR="00217EEC" w:rsidRPr="003040DC" w14:paraId="57969737" w14:textId="77777777" w:rsidTr="00217EEC">
        <w:trPr>
          <w:trHeight w:val="680"/>
        </w:trPr>
        <w:tc>
          <w:tcPr>
            <w:tcW w:w="2886" w:type="dxa"/>
            <w:vAlign w:val="center"/>
          </w:tcPr>
          <w:p w14:paraId="676AAF83" w14:textId="77777777" w:rsidR="00100482" w:rsidRPr="009E1786" w:rsidRDefault="00100482" w:rsidP="00726072">
            <w:pPr>
              <w:rPr>
                <w:rFonts w:cs="Arial"/>
                <w:sz w:val="18"/>
                <w:szCs w:val="18"/>
              </w:rPr>
            </w:pPr>
            <w:r>
              <w:rPr>
                <w:rFonts w:cs="Arial"/>
                <w:sz w:val="18"/>
                <w:szCs w:val="18"/>
              </w:rPr>
              <w:t>Update</w:t>
            </w:r>
            <w:r w:rsidRPr="009E1786">
              <w:rPr>
                <w:rFonts w:cs="Arial"/>
                <w:sz w:val="18"/>
                <w:szCs w:val="18"/>
              </w:rPr>
              <w:t xml:space="preserve"> to FSANZ Board</w:t>
            </w:r>
          </w:p>
        </w:tc>
        <w:tc>
          <w:tcPr>
            <w:tcW w:w="5258" w:type="dxa"/>
            <w:vAlign w:val="center"/>
          </w:tcPr>
          <w:p w14:paraId="02DC16AD" w14:textId="77777777" w:rsidR="00100482" w:rsidRPr="009E1786" w:rsidRDefault="00100482" w:rsidP="00726072">
            <w:pPr>
              <w:rPr>
                <w:rFonts w:cs="Arial"/>
                <w:sz w:val="18"/>
                <w:szCs w:val="18"/>
              </w:rPr>
            </w:pPr>
            <w:r>
              <w:rPr>
                <w:rFonts w:cs="Arial"/>
                <w:sz w:val="18"/>
                <w:szCs w:val="18"/>
              </w:rPr>
              <w:t xml:space="preserve">Progress on the study of the merits of regulating packaging in the Code was presented. Further investigation was supported.  </w:t>
            </w:r>
          </w:p>
        </w:tc>
        <w:tc>
          <w:tcPr>
            <w:tcW w:w="1178" w:type="dxa"/>
            <w:vAlign w:val="center"/>
          </w:tcPr>
          <w:p w14:paraId="505E9568" w14:textId="77777777" w:rsidR="00100482" w:rsidRPr="009E1786" w:rsidRDefault="00100482" w:rsidP="00726072">
            <w:pPr>
              <w:rPr>
                <w:rFonts w:cs="Arial"/>
                <w:sz w:val="18"/>
                <w:szCs w:val="18"/>
              </w:rPr>
            </w:pPr>
            <w:r w:rsidRPr="009E1786">
              <w:rPr>
                <w:rFonts w:cs="Arial"/>
                <w:sz w:val="18"/>
                <w:szCs w:val="18"/>
              </w:rPr>
              <w:t>2007</w:t>
            </w:r>
          </w:p>
        </w:tc>
      </w:tr>
      <w:tr w:rsidR="00100482" w:rsidRPr="003040DC" w14:paraId="3D9E903A" w14:textId="77777777" w:rsidTr="00217EEC">
        <w:trPr>
          <w:trHeight w:val="510"/>
        </w:trPr>
        <w:tc>
          <w:tcPr>
            <w:tcW w:w="2886" w:type="dxa"/>
            <w:vAlign w:val="center"/>
          </w:tcPr>
          <w:p w14:paraId="4734010E" w14:textId="77777777" w:rsidR="00100482" w:rsidRPr="00CF179C" w:rsidRDefault="00100482" w:rsidP="00726072">
            <w:pPr>
              <w:rPr>
                <w:rFonts w:cs="Arial"/>
                <w:sz w:val="18"/>
                <w:szCs w:val="18"/>
              </w:rPr>
            </w:pPr>
            <w:r w:rsidRPr="00CF179C">
              <w:rPr>
                <w:rFonts w:cs="Arial"/>
                <w:sz w:val="18"/>
                <w:szCs w:val="18"/>
              </w:rPr>
              <w:t>Preliminary work commenced</w:t>
            </w:r>
            <w:r w:rsidRPr="00CF179C">
              <w:rPr>
                <w:rFonts w:cs="Arial"/>
                <w:sz w:val="18"/>
                <w:szCs w:val="18"/>
                <w:vertAlign w:val="superscript"/>
              </w:rPr>
              <w:footnoteReference w:id="9"/>
            </w:r>
          </w:p>
        </w:tc>
        <w:tc>
          <w:tcPr>
            <w:tcW w:w="5258" w:type="dxa"/>
            <w:vAlign w:val="center"/>
          </w:tcPr>
          <w:p w14:paraId="31195B64" w14:textId="6C1595B8" w:rsidR="00100482" w:rsidRPr="003040DC" w:rsidRDefault="00100482" w:rsidP="00726072">
            <w:pPr>
              <w:rPr>
                <w:rFonts w:cs="Arial"/>
                <w:sz w:val="18"/>
                <w:szCs w:val="18"/>
              </w:rPr>
            </w:pPr>
            <w:r w:rsidRPr="003040DC">
              <w:rPr>
                <w:rFonts w:cs="Arial"/>
                <w:sz w:val="18"/>
                <w:szCs w:val="18"/>
              </w:rPr>
              <w:t>Objective was to</w:t>
            </w:r>
            <w:r w:rsidRPr="003040DC">
              <w:rPr>
                <w:rFonts w:eastAsia="Calibri" w:cs="Arial"/>
                <w:sz w:val="18"/>
                <w:szCs w:val="18"/>
              </w:rPr>
              <w:t xml:space="preserve"> review the adequacy of the current regulatory framework for food contact packaging materials</w:t>
            </w:r>
            <w:r w:rsidRPr="003040DC">
              <w:rPr>
                <w:rFonts w:cs="Arial"/>
                <w:sz w:val="18"/>
                <w:szCs w:val="18"/>
              </w:rPr>
              <w:t>. The work was prompted by ongoing concern from stakeholders about the migration of certain packaging materials into foods and subsequent potential public health effects.</w:t>
            </w:r>
          </w:p>
        </w:tc>
        <w:tc>
          <w:tcPr>
            <w:tcW w:w="1178" w:type="dxa"/>
            <w:vAlign w:val="center"/>
          </w:tcPr>
          <w:p w14:paraId="34D3D4FC" w14:textId="77777777" w:rsidR="00100482" w:rsidRPr="003040DC" w:rsidRDefault="00100482" w:rsidP="00726072">
            <w:pPr>
              <w:rPr>
                <w:rFonts w:cs="Arial"/>
                <w:sz w:val="18"/>
                <w:szCs w:val="18"/>
              </w:rPr>
            </w:pPr>
            <w:r w:rsidRPr="003040DC">
              <w:rPr>
                <w:rFonts w:cs="Arial"/>
                <w:sz w:val="18"/>
                <w:szCs w:val="18"/>
              </w:rPr>
              <w:t>2007</w:t>
            </w:r>
          </w:p>
        </w:tc>
      </w:tr>
      <w:tr w:rsidR="00100482" w:rsidRPr="003040DC" w14:paraId="79C43E05" w14:textId="77777777" w:rsidTr="00217EEC">
        <w:trPr>
          <w:trHeight w:val="680"/>
        </w:trPr>
        <w:tc>
          <w:tcPr>
            <w:tcW w:w="2886" w:type="dxa"/>
            <w:vAlign w:val="center"/>
          </w:tcPr>
          <w:p w14:paraId="070FE242" w14:textId="77777777" w:rsidR="00100482" w:rsidRPr="003040DC" w:rsidRDefault="00100482" w:rsidP="00726072">
            <w:pPr>
              <w:rPr>
                <w:rFonts w:cs="Arial"/>
                <w:color w:val="000000"/>
                <w:sz w:val="18"/>
                <w:szCs w:val="18"/>
              </w:rPr>
            </w:pPr>
            <w:r w:rsidRPr="003040DC">
              <w:rPr>
                <w:rFonts w:cs="Arial"/>
                <w:color w:val="000000"/>
                <w:sz w:val="18"/>
                <w:szCs w:val="18"/>
              </w:rPr>
              <w:t>Background research</w:t>
            </w:r>
          </w:p>
        </w:tc>
        <w:tc>
          <w:tcPr>
            <w:tcW w:w="5258" w:type="dxa"/>
            <w:vAlign w:val="center"/>
          </w:tcPr>
          <w:p w14:paraId="0767A1A5" w14:textId="77777777" w:rsidR="00100482" w:rsidRPr="003040DC" w:rsidRDefault="00100482" w:rsidP="00726072">
            <w:pPr>
              <w:rPr>
                <w:rFonts w:cs="Arial"/>
                <w:sz w:val="18"/>
                <w:szCs w:val="18"/>
              </w:rPr>
            </w:pPr>
            <w:r w:rsidRPr="003040DC">
              <w:rPr>
                <w:rFonts w:cs="Arial"/>
                <w:sz w:val="18"/>
                <w:szCs w:val="18"/>
              </w:rPr>
              <w:t xml:space="preserve">Reviews of international approaches and industry practices in managing risks from chemicals in food packaging. </w:t>
            </w:r>
          </w:p>
        </w:tc>
        <w:tc>
          <w:tcPr>
            <w:tcW w:w="1178" w:type="dxa"/>
            <w:vAlign w:val="center"/>
          </w:tcPr>
          <w:p w14:paraId="2DB0FC1A" w14:textId="77777777" w:rsidR="00100482" w:rsidRPr="003040DC" w:rsidRDefault="00100482" w:rsidP="00726072">
            <w:pPr>
              <w:rPr>
                <w:rFonts w:cs="Arial"/>
                <w:sz w:val="18"/>
                <w:szCs w:val="18"/>
              </w:rPr>
            </w:pPr>
            <w:r w:rsidRPr="003040DC">
              <w:rPr>
                <w:rFonts w:cs="Arial"/>
                <w:sz w:val="18"/>
                <w:szCs w:val="18"/>
              </w:rPr>
              <w:t>2008-2009</w:t>
            </w:r>
          </w:p>
        </w:tc>
      </w:tr>
      <w:tr w:rsidR="00100482" w:rsidRPr="003040DC" w14:paraId="46AAFE9B" w14:textId="77777777" w:rsidTr="00217EEC">
        <w:trPr>
          <w:trHeight w:val="510"/>
        </w:trPr>
        <w:tc>
          <w:tcPr>
            <w:tcW w:w="2886" w:type="dxa"/>
            <w:shd w:val="clear" w:color="auto" w:fill="FFFFFF" w:themeFill="background1"/>
            <w:vAlign w:val="center"/>
          </w:tcPr>
          <w:p w14:paraId="788C3814" w14:textId="1482A307" w:rsidR="00100482" w:rsidRPr="003040DC" w:rsidRDefault="00100482" w:rsidP="00726072">
            <w:pPr>
              <w:rPr>
                <w:rFonts w:cs="Arial"/>
                <w:color w:val="000000"/>
                <w:sz w:val="18"/>
                <w:szCs w:val="18"/>
              </w:rPr>
            </w:pPr>
            <w:r>
              <w:rPr>
                <w:rFonts w:cs="Arial"/>
                <w:color w:val="000000"/>
                <w:sz w:val="18"/>
                <w:szCs w:val="18"/>
              </w:rPr>
              <w:t>A</w:t>
            </w:r>
            <w:r w:rsidRPr="003040DC">
              <w:rPr>
                <w:rFonts w:cs="Arial"/>
                <w:color w:val="000000"/>
                <w:sz w:val="18"/>
                <w:szCs w:val="18"/>
              </w:rPr>
              <w:t xml:space="preserve">nalytical surveys </w:t>
            </w:r>
            <w:r>
              <w:rPr>
                <w:rFonts w:cs="Arial"/>
                <w:color w:val="000000"/>
                <w:sz w:val="18"/>
                <w:szCs w:val="18"/>
              </w:rPr>
              <w:t xml:space="preserve">completed </w:t>
            </w:r>
          </w:p>
        </w:tc>
        <w:tc>
          <w:tcPr>
            <w:tcW w:w="5258" w:type="dxa"/>
            <w:shd w:val="clear" w:color="auto" w:fill="FFFFFF" w:themeFill="background1"/>
            <w:vAlign w:val="center"/>
          </w:tcPr>
          <w:p w14:paraId="3650579E" w14:textId="77777777" w:rsidR="00100482" w:rsidRPr="007C0510" w:rsidRDefault="00100482" w:rsidP="00726072">
            <w:pPr>
              <w:rPr>
                <w:rFonts w:cs="Arial"/>
                <w:sz w:val="18"/>
                <w:szCs w:val="18"/>
              </w:rPr>
            </w:pPr>
            <w:r>
              <w:rPr>
                <w:rFonts w:cs="Arial"/>
                <w:sz w:val="18"/>
                <w:szCs w:val="18"/>
              </w:rPr>
              <w:t>BPA: R</w:t>
            </w:r>
            <w:r w:rsidRPr="003040DC">
              <w:rPr>
                <w:rFonts w:cs="Arial"/>
                <w:sz w:val="18"/>
                <w:szCs w:val="18"/>
              </w:rPr>
              <w:t>esults</w:t>
            </w:r>
            <w:r>
              <w:rPr>
                <w:rFonts w:cs="Arial"/>
                <w:sz w:val="18"/>
                <w:szCs w:val="18"/>
              </w:rPr>
              <w:t xml:space="preserve"> showed </w:t>
            </w:r>
            <w:r w:rsidRPr="003040DC">
              <w:rPr>
                <w:rFonts w:cs="Arial"/>
                <w:sz w:val="18"/>
                <w:szCs w:val="18"/>
              </w:rPr>
              <w:t xml:space="preserve">only a limited number of samples had detectable levels of BPA. Dietary exposure to BPA for the Australian population was low for all age groups. </w:t>
            </w:r>
            <w:r>
              <w:rPr>
                <w:rFonts w:cs="Arial"/>
                <w:sz w:val="18"/>
                <w:szCs w:val="18"/>
              </w:rPr>
              <w:t xml:space="preserve">See: </w:t>
            </w:r>
            <w:hyperlink r:id="rId36" w:history="1">
              <w:r w:rsidRPr="007C0510">
                <w:rPr>
                  <w:rStyle w:val="Hyperlink"/>
                  <w:rFonts w:cs="Arial"/>
                  <w:sz w:val="18"/>
                  <w:szCs w:val="18"/>
                </w:rPr>
                <w:t>FSANZ Survey of Bisphenol A in Australian Foods</w:t>
              </w:r>
            </w:hyperlink>
          </w:p>
          <w:p w14:paraId="433E2815" w14:textId="77777777" w:rsidR="00100482" w:rsidRPr="003040DC" w:rsidRDefault="00100482" w:rsidP="00726072">
            <w:pPr>
              <w:rPr>
                <w:rFonts w:cs="Arial"/>
              </w:rPr>
            </w:pPr>
          </w:p>
          <w:p w14:paraId="429485BF" w14:textId="131DB074" w:rsidR="00100482" w:rsidRPr="007C0510" w:rsidRDefault="00100482" w:rsidP="00333386">
            <w:pPr>
              <w:rPr>
                <w:rFonts w:cs="Arial"/>
                <w:color w:val="1F497D"/>
                <w:sz w:val="18"/>
                <w:szCs w:val="18"/>
              </w:rPr>
            </w:pPr>
            <w:r>
              <w:rPr>
                <w:rFonts w:cs="Arial"/>
                <w:sz w:val="18"/>
                <w:szCs w:val="18"/>
              </w:rPr>
              <w:t>Food Contact P</w:t>
            </w:r>
            <w:r w:rsidRPr="007C0510">
              <w:rPr>
                <w:rFonts w:cs="Arial"/>
                <w:sz w:val="18"/>
                <w:szCs w:val="18"/>
              </w:rPr>
              <w:t>ackaging Materials:</w:t>
            </w:r>
            <w:r>
              <w:rPr>
                <w:rFonts w:cs="Arial"/>
                <w:sz w:val="18"/>
                <w:szCs w:val="18"/>
              </w:rPr>
              <w:t xml:space="preserve"> R</w:t>
            </w:r>
            <w:r w:rsidRPr="003040DC">
              <w:rPr>
                <w:rFonts w:cs="Arial"/>
                <w:sz w:val="18"/>
                <w:szCs w:val="18"/>
              </w:rPr>
              <w:t xml:space="preserve">esults showed </w:t>
            </w:r>
            <w:r w:rsidRPr="003040DC">
              <w:rPr>
                <w:rFonts w:cs="Arial"/>
                <w:sz w:val="18"/>
                <w:szCs w:val="18"/>
                <w:lang w:val="en-AU"/>
              </w:rPr>
              <w:t>no detections of phthalates, semicarbazide, perfluorinated compounds, acrylonitrile or vinyl chloride in any of the foods analysed; low levels of ESBO in a small number of samples. Dietary exposure</w:t>
            </w:r>
            <w:r w:rsidRPr="003040DC" w:rsidDel="00333386">
              <w:rPr>
                <w:rFonts w:cs="Arial"/>
                <w:sz w:val="18"/>
                <w:szCs w:val="18"/>
                <w:lang w:val="en-AU"/>
              </w:rPr>
              <w:t xml:space="preserve"> </w:t>
            </w:r>
            <w:r w:rsidRPr="003040DC">
              <w:rPr>
                <w:rFonts w:cs="Arial"/>
                <w:sz w:val="18"/>
                <w:szCs w:val="18"/>
                <w:lang w:val="en-AU"/>
              </w:rPr>
              <w:t xml:space="preserve">to ESBO estimated to be very low. </w:t>
            </w:r>
            <w:r>
              <w:rPr>
                <w:rFonts w:cs="Arial"/>
                <w:sz w:val="18"/>
                <w:szCs w:val="18"/>
                <w:lang w:val="en-AU"/>
              </w:rPr>
              <w:t xml:space="preserve">See: </w:t>
            </w:r>
            <w:r w:rsidRPr="003040DC">
              <w:rPr>
                <w:rFonts w:cs="Arial"/>
                <w:color w:val="0000FF"/>
                <w:sz w:val="18"/>
                <w:szCs w:val="18"/>
                <w:u w:val="single"/>
              </w:rPr>
              <w:t>Survey of Chemical Migration from Food Contact Packaging Materials in Australian Food</w:t>
            </w:r>
          </w:p>
        </w:tc>
        <w:tc>
          <w:tcPr>
            <w:tcW w:w="1178" w:type="dxa"/>
            <w:shd w:val="clear" w:color="auto" w:fill="FFFFFF" w:themeFill="background1"/>
            <w:vAlign w:val="center"/>
          </w:tcPr>
          <w:p w14:paraId="56DBBB3D" w14:textId="77777777" w:rsidR="00100482" w:rsidRPr="003040DC" w:rsidRDefault="00100482" w:rsidP="00726072">
            <w:pPr>
              <w:rPr>
                <w:rFonts w:cs="Arial"/>
                <w:sz w:val="18"/>
                <w:szCs w:val="18"/>
              </w:rPr>
            </w:pPr>
            <w:r w:rsidRPr="003040DC">
              <w:rPr>
                <w:rFonts w:cs="Arial"/>
                <w:sz w:val="18"/>
                <w:szCs w:val="18"/>
              </w:rPr>
              <w:t>2010</w:t>
            </w:r>
          </w:p>
        </w:tc>
      </w:tr>
      <w:tr w:rsidR="00217EEC" w:rsidRPr="003040DC" w14:paraId="4CE07F69" w14:textId="77777777" w:rsidTr="00217EEC">
        <w:trPr>
          <w:trHeight w:val="680"/>
        </w:trPr>
        <w:tc>
          <w:tcPr>
            <w:tcW w:w="2886" w:type="dxa"/>
            <w:tcBorders>
              <w:bottom w:val="single" w:sz="4" w:space="0" w:color="000000"/>
            </w:tcBorders>
            <w:vAlign w:val="center"/>
          </w:tcPr>
          <w:p w14:paraId="28F66C48" w14:textId="77777777" w:rsidR="00100482" w:rsidRPr="003040DC" w:rsidRDefault="00100482" w:rsidP="00726072">
            <w:pPr>
              <w:rPr>
                <w:rFonts w:cs="Arial"/>
                <w:color w:val="000000"/>
                <w:sz w:val="18"/>
                <w:szCs w:val="18"/>
              </w:rPr>
            </w:pPr>
            <w:r w:rsidRPr="003040DC">
              <w:rPr>
                <w:rFonts w:cs="Arial"/>
                <w:color w:val="000000"/>
                <w:sz w:val="18"/>
                <w:szCs w:val="18"/>
              </w:rPr>
              <w:t>Industry Advisory Group (IAG) established</w:t>
            </w:r>
          </w:p>
        </w:tc>
        <w:tc>
          <w:tcPr>
            <w:tcW w:w="5258" w:type="dxa"/>
            <w:tcBorders>
              <w:bottom w:val="single" w:sz="4" w:space="0" w:color="000000"/>
            </w:tcBorders>
            <w:vAlign w:val="center"/>
          </w:tcPr>
          <w:p w14:paraId="10A4D62F" w14:textId="75070850" w:rsidR="00100482" w:rsidRPr="003040DC" w:rsidRDefault="00100482" w:rsidP="00333386">
            <w:pPr>
              <w:rPr>
                <w:rFonts w:cs="Arial"/>
                <w:sz w:val="18"/>
                <w:szCs w:val="18"/>
              </w:rPr>
            </w:pPr>
            <w:r w:rsidRPr="003040DC">
              <w:rPr>
                <w:rFonts w:cs="Arial"/>
                <w:sz w:val="18"/>
                <w:szCs w:val="18"/>
              </w:rPr>
              <w:t>Convened to inform the FSANZ review of food packaging regulations. Membership comprised representatives from the food and packaging industry. Three meetings were held. Group disbanded in 2014.</w:t>
            </w:r>
          </w:p>
        </w:tc>
        <w:tc>
          <w:tcPr>
            <w:tcW w:w="1178" w:type="dxa"/>
            <w:tcBorders>
              <w:bottom w:val="single" w:sz="4" w:space="0" w:color="000000"/>
            </w:tcBorders>
            <w:vAlign w:val="center"/>
          </w:tcPr>
          <w:p w14:paraId="1EB97C41" w14:textId="77777777" w:rsidR="00100482" w:rsidRPr="003040DC" w:rsidRDefault="00100482" w:rsidP="00726072">
            <w:pPr>
              <w:rPr>
                <w:rFonts w:cs="Arial"/>
                <w:sz w:val="18"/>
                <w:szCs w:val="18"/>
              </w:rPr>
            </w:pPr>
            <w:r w:rsidRPr="003040DC">
              <w:rPr>
                <w:rFonts w:cs="Arial"/>
                <w:sz w:val="18"/>
                <w:szCs w:val="18"/>
              </w:rPr>
              <w:t>2011</w:t>
            </w:r>
          </w:p>
        </w:tc>
      </w:tr>
      <w:tr w:rsidR="00217EEC" w:rsidRPr="003040DC" w14:paraId="59C8C3EA" w14:textId="77777777" w:rsidTr="00217EEC">
        <w:trPr>
          <w:trHeight w:val="680"/>
        </w:trPr>
        <w:tc>
          <w:tcPr>
            <w:tcW w:w="2886" w:type="dxa"/>
            <w:tcBorders>
              <w:bottom w:val="single" w:sz="4" w:space="0" w:color="000000"/>
            </w:tcBorders>
            <w:vAlign w:val="center"/>
          </w:tcPr>
          <w:p w14:paraId="5B84C904" w14:textId="77777777" w:rsidR="00100482" w:rsidRPr="003040DC" w:rsidRDefault="00100482" w:rsidP="00726072">
            <w:pPr>
              <w:rPr>
                <w:rFonts w:cs="Arial"/>
                <w:color w:val="000000"/>
                <w:sz w:val="18"/>
                <w:szCs w:val="18"/>
              </w:rPr>
            </w:pPr>
            <w:r>
              <w:rPr>
                <w:rFonts w:cs="Arial"/>
                <w:color w:val="000000"/>
                <w:sz w:val="18"/>
                <w:szCs w:val="18"/>
              </w:rPr>
              <w:t>Industry</w:t>
            </w:r>
            <w:r w:rsidRPr="009E1786">
              <w:rPr>
                <w:rFonts w:cs="Arial"/>
                <w:color w:val="000000"/>
                <w:sz w:val="18"/>
                <w:szCs w:val="18"/>
              </w:rPr>
              <w:t xml:space="preserve"> survey</w:t>
            </w:r>
            <w:r>
              <w:rPr>
                <w:rFonts w:cs="Arial"/>
                <w:color w:val="000000"/>
                <w:sz w:val="18"/>
                <w:szCs w:val="18"/>
              </w:rPr>
              <w:t>s</w:t>
            </w:r>
            <w:r w:rsidRPr="009E1786">
              <w:rPr>
                <w:rFonts w:cs="Arial"/>
                <w:color w:val="000000"/>
                <w:sz w:val="18"/>
                <w:szCs w:val="18"/>
              </w:rPr>
              <w:t xml:space="preserve"> </w:t>
            </w:r>
          </w:p>
        </w:tc>
        <w:tc>
          <w:tcPr>
            <w:tcW w:w="5258" w:type="dxa"/>
            <w:tcBorders>
              <w:bottom w:val="single" w:sz="4" w:space="0" w:color="000000"/>
            </w:tcBorders>
            <w:vAlign w:val="center"/>
          </w:tcPr>
          <w:p w14:paraId="1020918C" w14:textId="43DABA00" w:rsidR="00100482" w:rsidRPr="003040DC" w:rsidRDefault="00100482" w:rsidP="00DC77CB">
            <w:pPr>
              <w:rPr>
                <w:rFonts w:cs="Arial"/>
                <w:color w:val="000000"/>
                <w:sz w:val="18"/>
                <w:szCs w:val="18"/>
              </w:rPr>
            </w:pPr>
            <w:r>
              <w:rPr>
                <w:rFonts w:cs="Arial"/>
                <w:color w:val="000000"/>
                <w:sz w:val="18"/>
                <w:szCs w:val="18"/>
              </w:rPr>
              <w:t>F</w:t>
            </w:r>
            <w:r w:rsidRPr="00AC6EC4">
              <w:rPr>
                <w:rFonts w:cs="Arial"/>
                <w:color w:val="000000"/>
                <w:sz w:val="18"/>
                <w:szCs w:val="18"/>
              </w:rPr>
              <w:t xml:space="preserve">ood packaging manufacturers and the food industry were surveyed </w:t>
            </w:r>
            <w:r w:rsidR="00DC77CB">
              <w:rPr>
                <w:rFonts w:cs="Arial"/>
                <w:color w:val="000000"/>
                <w:sz w:val="18"/>
                <w:szCs w:val="18"/>
              </w:rPr>
              <w:t xml:space="preserve">through </w:t>
            </w:r>
            <w:r>
              <w:rPr>
                <w:rFonts w:cs="Arial"/>
                <w:color w:val="000000"/>
                <w:sz w:val="18"/>
                <w:szCs w:val="18"/>
              </w:rPr>
              <w:t xml:space="preserve">two online surveys </w:t>
            </w:r>
            <w:r w:rsidRPr="00AC6EC4">
              <w:rPr>
                <w:rFonts w:cs="Arial"/>
                <w:color w:val="000000"/>
                <w:sz w:val="18"/>
                <w:szCs w:val="18"/>
              </w:rPr>
              <w:t>to establish current industry practices</w:t>
            </w:r>
            <w:r>
              <w:rPr>
                <w:rFonts w:cs="Arial"/>
                <w:color w:val="000000"/>
                <w:sz w:val="18"/>
                <w:szCs w:val="18"/>
              </w:rPr>
              <w:t xml:space="preserve"> in relation to food contact materials. </w:t>
            </w:r>
            <w:r w:rsidRPr="00AC6EC4">
              <w:rPr>
                <w:rFonts w:cs="Arial"/>
                <w:color w:val="000000"/>
                <w:sz w:val="18"/>
                <w:szCs w:val="18"/>
              </w:rPr>
              <w:t xml:space="preserve">Results </w:t>
            </w:r>
            <w:r>
              <w:rPr>
                <w:rFonts w:cs="Arial"/>
                <w:color w:val="000000"/>
                <w:sz w:val="18"/>
                <w:szCs w:val="18"/>
              </w:rPr>
              <w:t xml:space="preserve">were </w:t>
            </w:r>
            <w:r w:rsidRPr="00AC6EC4">
              <w:rPr>
                <w:rFonts w:cs="Arial"/>
                <w:color w:val="000000"/>
                <w:sz w:val="18"/>
                <w:szCs w:val="18"/>
              </w:rPr>
              <w:t xml:space="preserve">published in 2014 </w:t>
            </w:r>
            <w:r w:rsidR="00E53A73">
              <w:rPr>
                <w:rFonts w:cs="Arial"/>
                <w:color w:val="000000"/>
                <w:sz w:val="18"/>
                <w:szCs w:val="18"/>
              </w:rPr>
              <w:t>1</w:t>
            </w:r>
            <w:r w:rsidR="00E53A73" w:rsidRPr="00E53A73">
              <w:rPr>
                <w:rFonts w:cs="Arial"/>
                <w:color w:val="000000"/>
                <w:sz w:val="18"/>
                <w:szCs w:val="18"/>
                <w:vertAlign w:val="superscript"/>
              </w:rPr>
              <w:t>st</w:t>
            </w:r>
            <w:r w:rsidR="00E53A73">
              <w:rPr>
                <w:rFonts w:cs="Arial"/>
                <w:color w:val="000000"/>
                <w:sz w:val="18"/>
                <w:szCs w:val="18"/>
              </w:rPr>
              <w:t xml:space="preserve"> Call for Submissions</w:t>
            </w:r>
            <w:r w:rsidRPr="00AC6EC4">
              <w:rPr>
                <w:rFonts w:cs="Arial"/>
                <w:color w:val="000000"/>
                <w:sz w:val="18"/>
                <w:szCs w:val="18"/>
              </w:rPr>
              <w:t>.</w:t>
            </w:r>
          </w:p>
        </w:tc>
        <w:tc>
          <w:tcPr>
            <w:tcW w:w="1178" w:type="dxa"/>
            <w:tcBorders>
              <w:bottom w:val="single" w:sz="4" w:space="0" w:color="000000"/>
            </w:tcBorders>
            <w:vAlign w:val="center"/>
          </w:tcPr>
          <w:p w14:paraId="4C7C5B56" w14:textId="77777777" w:rsidR="00100482" w:rsidRPr="003040DC" w:rsidRDefault="00100482" w:rsidP="00726072">
            <w:pPr>
              <w:rPr>
                <w:rFonts w:cs="Arial"/>
                <w:color w:val="000000"/>
                <w:sz w:val="18"/>
                <w:szCs w:val="18"/>
              </w:rPr>
            </w:pPr>
            <w:r>
              <w:rPr>
                <w:rFonts w:cs="Arial"/>
                <w:color w:val="000000"/>
                <w:sz w:val="18"/>
                <w:szCs w:val="18"/>
              </w:rPr>
              <w:t>2012-2013</w:t>
            </w:r>
          </w:p>
        </w:tc>
      </w:tr>
      <w:tr w:rsidR="00100482" w:rsidRPr="003040DC" w14:paraId="6A03AB9F" w14:textId="77777777" w:rsidTr="00217EEC">
        <w:trPr>
          <w:trHeight w:val="680"/>
        </w:trPr>
        <w:tc>
          <w:tcPr>
            <w:tcW w:w="2886" w:type="dxa"/>
            <w:vAlign w:val="center"/>
          </w:tcPr>
          <w:p w14:paraId="0610C167" w14:textId="29D6CB6B" w:rsidR="00100482" w:rsidRPr="003040DC" w:rsidRDefault="00100482" w:rsidP="00726072">
            <w:pPr>
              <w:rPr>
                <w:rFonts w:cs="Arial"/>
                <w:sz w:val="18"/>
                <w:szCs w:val="18"/>
              </w:rPr>
            </w:pPr>
            <w:r>
              <w:rPr>
                <w:rFonts w:cs="Arial"/>
                <w:sz w:val="18"/>
                <w:szCs w:val="18"/>
              </w:rPr>
              <w:t xml:space="preserve">Issues </w:t>
            </w:r>
            <w:r w:rsidR="00333386">
              <w:rPr>
                <w:rFonts w:cs="Arial"/>
                <w:sz w:val="18"/>
                <w:szCs w:val="18"/>
              </w:rPr>
              <w:t>p</w:t>
            </w:r>
            <w:r>
              <w:rPr>
                <w:rFonts w:cs="Arial"/>
                <w:sz w:val="18"/>
                <w:szCs w:val="18"/>
              </w:rPr>
              <w:t>aper to FSANZ Board</w:t>
            </w:r>
          </w:p>
        </w:tc>
        <w:tc>
          <w:tcPr>
            <w:tcW w:w="5258" w:type="dxa"/>
            <w:vAlign w:val="center"/>
          </w:tcPr>
          <w:p w14:paraId="4BD83448" w14:textId="77777777" w:rsidR="00100482" w:rsidRPr="003040DC" w:rsidRDefault="00100482" w:rsidP="00726072">
            <w:pPr>
              <w:rPr>
                <w:rFonts w:cs="Arial"/>
                <w:sz w:val="18"/>
                <w:szCs w:val="18"/>
              </w:rPr>
            </w:pPr>
            <w:r w:rsidRPr="003040DC">
              <w:rPr>
                <w:rFonts w:cs="Arial"/>
                <w:sz w:val="18"/>
                <w:szCs w:val="18"/>
              </w:rPr>
              <w:t xml:space="preserve">Issues paper </w:t>
            </w:r>
            <w:r>
              <w:rPr>
                <w:rFonts w:cs="Arial"/>
                <w:sz w:val="18"/>
                <w:szCs w:val="18"/>
              </w:rPr>
              <w:t>summarising packaging work to date (including packaging survey responses) was presented. Preparation of the proposal was supported.</w:t>
            </w:r>
          </w:p>
        </w:tc>
        <w:tc>
          <w:tcPr>
            <w:tcW w:w="1178" w:type="dxa"/>
            <w:vAlign w:val="center"/>
          </w:tcPr>
          <w:p w14:paraId="405A79E9" w14:textId="77777777" w:rsidR="00100482" w:rsidRPr="003040DC" w:rsidRDefault="00100482" w:rsidP="00726072">
            <w:pPr>
              <w:rPr>
                <w:rFonts w:cs="Arial"/>
                <w:sz w:val="18"/>
                <w:szCs w:val="18"/>
              </w:rPr>
            </w:pPr>
            <w:r w:rsidRPr="003040DC">
              <w:rPr>
                <w:rFonts w:cs="Arial"/>
                <w:sz w:val="18"/>
                <w:szCs w:val="18"/>
              </w:rPr>
              <w:t>Dec 2013</w:t>
            </w:r>
          </w:p>
        </w:tc>
      </w:tr>
      <w:tr w:rsidR="00100482" w:rsidRPr="003040DC" w14:paraId="7043FDBE" w14:textId="77777777" w:rsidTr="00217EEC">
        <w:trPr>
          <w:trHeight w:val="680"/>
        </w:trPr>
        <w:tc>
          <w:tcPr>
            <w:tcW w:w="2886" w:type="dxa"/>
            <w:vAlign w:val="center"/>
          </w:tcPr>
          <w:p w14:paraId="29DBD3A5" w14:textId="4B2E8A75" w:rsidR="00100482" w:rsidRPr="003040DC" w:rsidRDefault="00100482" w:rsidP="00726072">
            <w:pPr>
              <w:rPr>
                <w:rFonts w:cs="Arial"/>
                <w:b/>
                <w:sz w:val="18"/>
                <w:szCs w:val="18"/>
              </w:rPr>
            </w:pPr>
            <w:r w:rsidRPr="00CF179C">
              <w:rPr>
                <w:rFonts w:cs="Arial"/>
                <w:sz w:val="18"/>
                <w:szCs w:val="18"/>
              </w:rPr>
              <w:t>Proposal P1034 commenced</w:t>
            </w:r>
            <w:r w:rsidRPr="003040DC">
              <w:rPr>
                <w:rFonts w:cs="Arial"/>
                <w:b/>
                <w:sz w:val="18"/>
                <w:szCs w:val="18"/>
              </w:rPr>
              <w:t xml:space="preserve"> </w:t>
            </w:r>
          </w:p>
        </w:tc>
        <w:tc>
          <w:tcPr>
            <w:tcW w:w="5258" w:type="dxa"/>
            <w:vAlign w:val="center"/>
          </w:tcPr>
          <w:p w14:paraId="71533575" w14:textId="77777777" w:rsidR="00100482" w:rsidRPr="003040DC" w:rsidRDefault="00100482" w:rsidP="00726072">
            <w:pPr>
              <w:rPr>
                <w:rFonts w:cs="Arial"/>
                <w:sz w:val="18"/>
                <w:szCs w:val="18"/>
              </w:rPr>
            </w:pPr>
            <w:r>
              <w:rPr>
                <w:rFonts w:cs="Arial"/>
                <w:sz w:val="18"/>
                <w:szCs w:val="18"/>
              </w:rPr>
              <w:t>P1034 aim is to assess</w:t>
            </w:r>
            <w:r w:rsidRPr="00416D6C">
              <w:rPr>
                <w:rFonts w:cs="Arial"/>
                <w:sz w:val="18"/>
                <w:szCs w:val="18"/>
              </w:rPr>
              <w:t xml:space="preserve"> the public health and safety risk</w:t>
            </w:r>
            <w:r>
              <w:rPr>
                <w:rFonts w:cs="Arial"/>
                <w:sz w:val="18"/>
                <w:szCs w:val="18"/>
              </w:rPr>
              <w:t>s</w:t>
            </w:r>
            <w:r w:rsidRPr="00416D6C">
              <w:rPr>
                <w:rFonts w:cs="Arial"/>
                <w:sz w:val="18"/>
                <w:szCs w:val="18"/>
              </w:rPr>
              <w:t xml:space="preserve"> </w:t>
            </w:r>
            <w:r>
              <w:rPr>
                <w:rFonts w:cs="Arial"/>
                <w:sz w:val="18"/>
                <w:szCs w:val="18"/>
              </w:rPr>
              <w:t xml:space="preserve">of </w:t>
            </w:r>
            <w:r w:rsidRPr="00416D6C">
              <w:rPr>
                <w:rFonts w:cs="Arial"/>
                <w:sz w:val="18"/>
                <w:szCs w:val="18"/>
              </w:rPr>
              <w:t>chemical migration from packaging into food (CMPF) and to identify and manage any risks.</w:t>
            </w:r>
            <w:r>
              <w:rPr>
                <w:rFonts w:cs="Arial"/>
                <w:sz w:val="18"/>
                <w:szCs w:val="18"/>
              </w:rPr>
              <w:t xml:space="preserve"> </w:t>
            </w:r>
          </w:p>
        </w:tc>
        <w:tc>
          <w:tcPr>
            <w:tcW w:w="1178" w:type="dxa"/>
            <w:vAlign w:val="center"/>
          </w:tcPr>
          <w:p w14:paraId="2036C583" w14:textId="77777777" w:rsidR="00100482" w:rsidRPr="003040DC" w:rsidRDefault="00100482" w:rsidP="00726072">
            <w:pPr>
              <w:rPr>
                <w:rFonts w:cs="Arial"/>
                <w:sz w:val="18"/>
                <w:szCs w:val="18"/>
              </w:rPr>
            </w:pPr>
            <w:r w:rsidRPr="003040DC">
              <w:rPr>
                <w:rFonts w:cs="Arial"/>
                <w:sz w:val="18"/>
                <w:szCs w:val="18"/>
              </w:rPr>
              <w:t>Jun 2014</w:t>
            </w:r>
          </w:p>
        </w:tc>
      </w:tr>
      <w:tr w:rsidR="00100482" w:rsidRPr="003040DC" w14:paraId="2A80B20D" w14:textId="77777777" w:rsidTr="00217EEC">
        <w:trPr>
          <w:trHeight w:val="680"/>
        </w:trPr>
        <w:tc>
          <w:tcPr>
            <w:tcW w:w="2886" w:type="dxa"/>
            <w:vAlign w:val="center"/>
          </w:tcPr>
          <w:p w14:paraId="7B6A42FA" w14:textId="0D4FE660" w:rsidR="00100482" w:rsidRPr="003040DC" w:rsidRDefault="00100482" w:rsidP="00726072">
            <w:pPr>
              <w:rPr>
                <w:rFonts w:cs="Arial"/>
                <w:color w:val="000000"/>
                <w:sz w:val="18"/>
                <w:szCs w:val="18"/>
              </w:rPr>
            </w:pPr>
            <w:r>
              <w:rPr>
                <w:rFonts w:cs="Arial"/>
                <w:color w:val="000000"/>
                <w:sz w:val="18"/>
                <w:szCs w:val="18"/>
              </w:rPr>
              <w:t>Packaging Advisory Group (</w:t>
            </w:r>
            <w:r w:rsidRPr="003040DC">
              <w:rPr>
                <w:rFonts w:cs="Arial"/>
                <w:color w:val="000000"/>
                <w:sz w:val="18"/>
                <w:szCs w:val="18"/>
              </w:rPr>
              <w:t xml:space="preserve">PAG) established </w:t>
            </w:r>
            <w:r w:rsidR="004F6E82">
              <w:rPr>
                <w:rFonts w:cs="Arial"/>
                <w:color w:val="000000"/>
                <w:sz w:val="18"/>
                <w:szCs w:val="18"/>
              </w:rPr>
              <w:t>– PAG#1</w:t>
            </w:r>
          </w:p>
        </w:tc>
        <w:tc>
          <w:tcPr>
            <w:tcW w:w="5258" w:type="dxa"/>
            <w:vAlign w:val="center"/>
          </w:tcPr>
          <w:p w14:paraId="369872AC" w14:textId="4FE92B48" w:rsidR="00100482" w:rsidRPr="003040DC" w:rsidRDefault="00100482" w:rsidP="00D248B6">
            <w:pPr>
              <w:rPr>
                <w:rFonts w:cs="Arial"/>
                <w:sz w:val="18"/>
                <w:szCs w:val="18"/>
              </w:rPr>
            </w:pPr>
            <w:r w:rsidRPr="003040DC">
              <w:rPr>
                <w:rFonts w:cs="Arial"/>
                <w:color w:val="000000"/>
                <w:sz w:val="18"/>
                <w:szCs w:val="18"/>
              </w:rPr>
              <w:t xml:space="preserve">Convened to </w:t>
            </w:r>
            <w:r>
              <w:rPr>
                <w:rFonts w:cs="Arial"/>
                <w:color w:val="000000"/>
                <w:sz w:val="18"/>
                <w:szCs w:val="18"/>
              </w:rPr>
              <w:t xml:space="preserve">provide advice and information for issues covered in P1034. </w:t>
            </w:r>
            <w:r w:rsidRPr="003040DC">
              <w:rPr>
                <w:rFonts w:cs="Arial"/>
                <w:color w:val="000000"/>
                <w:sz w:val="18"/>
                <w:szCs w:val="18"/>
              </w:rPr>
              <w:t xml:space="preserve">Membership comprised of representatives from </w:t>
            </w:r>
            <w:r w:rsidR="00111633">
              <w:rPr>
                <w:rFonts w:cs="Arial"/>
                <w:color w:val="000000"/>
                <w:sz w:val="18"/>
                <w:szCs w:val="18"/>
              </w:rPr>
              <w:t xml:space="preserve">Australian and New Zealand </w:t>
            </w:r>
            <w:r w:rsidRPr="003040DC">
              <w:rPr>
                <w:rFonts w:cs="Arial"/>
                <w:color w:val="000000"/>
                <w:sz w:val="18"/>
                <w:szCs w:val="18"/>
              </w:rPr>
              <w:t xml:space="preserve">industry, government, and consumer groups.  </w:t>
            </w:r>
          </w:p>
        </w:tc>
        <w:tc>
          <w:tcPr>
            <w:tcW w:w="1178" w:type="dxa"/>
            <w:vAlign w:val="center"/>
          </w:tcPr>
          <w:p w14:paraId="11740216" w14:textId="77777777" w:rsidR="00100482" w:rsidRPr="003040DC" w:rsidRDefault="00100482" w:rsidP="00726072">
            <w:pPr>
              <w:rPr>
                <w:rFonts w:cs="Arial"/>
                <w:sz w:val="18"/>
                <w:szCs w:val="18"/>
              </w:rPr>
            </w:pPr>
            <w:r w:rsidRPr="003040DC">
              <w:rPr>
                <w:rFonts w:cs="Arial"/>
                <w:sz w:val="18"/>
                <w:szCs w:val="18"/>
              </w:rPr>
              <w:t>Jun 2014</w:t>
            </w:r>
          </w:p>
        </w:tc>
      </w:tr>
      <w:tr w:rsidR="00100482" w:rsidRPr="003040DC" w14:paraId="38D7B823" w14:textId="77777777" w:rsidTr="00217EEC">
        <w:trPr>
          <w:trHeight w:val="680"/>
        </w:trPr>
        <w:tc>
          <w:tcPr>
            <w:tcW w:w="2886" w:type="dxa"/>
            <w:vAlign w:val="center"/>
          </w:tcPr>
          <w:p w14:paraId="263B6F12" w14:textId="442685C9" w:rsidR="00100482" w:rsidRPr="003040DC" w:rsidRDefault="00100482" w:rsidP="00726072">
            <w:pPr>
              <w:rPr>
                <w:rFonts w:cs="Arial"/>
                <w:color w:val="000000"/>
                <w:sz w:val="18"/>
                <w:szCs w:val="18"/>
              </w:rPr>
            </w:pPr>
            <w:r w:rsidRPr="003040DC">
              <w:rPr>
                <w:rFonts w:cs="Arial"/>
                <w:color w:val="000000"/>
                <w:sz w:val="18"/>
                <w:szCs w:val="18"/>
              </w:rPr>
              <w:t xml:space="preserve">PAG </w:t>
            </w:r>
            <w:r w:rsidRPr="003040DC">
              <w:rPr>
                <w:rFonts w:cs="Arial"/>
                <w:sz w:val="18"/>
                <w:szCs w:val="18"/>
              </w:rPr>
              <w:t>meeting</w:t>
            </w:r>
            <w:r w:rsidR="004F6E82">
              <w:rPr>
                <w:rFonts w:cs="Arial"/>
                <w:sz w:val="18"/>
                <w:szCs w:val="18"/>
              </w:rPr>
              <w:t xml:space="preserve"> #2</w:t>
            </w:r>
          </w:p>
        </w:tc>
        <w:tc>
          <w:tcPr>
            <w:tcW w:w="5258" w:type="dxa"/>
            <w:vAlign w:val="center"/>
          </w:tcPr>
          <w:p w14:paraId="5120D0EB" w14:textId="3B04532C" w:rsidR="00100482" w:rsidRPr="003040DC" w:rsidRDefault="00100482" w:rsidP="00E53A73">
            <w:pPr>
              <w:rPr>
                <w:rFonts w:cs="Arial"/>
                <w:sz w:val="18"/>
                <w:szCs w:val="18"/>
              </w:rPr>
            </w:pPr>
            <w:r>
              <w:rPr>
                <w:rFonts w:cs="Arial"/>
                <w:sz w:val="18"/>
                <w:szCs w:val="18"/>
              </w:rPr>
              <w:t>Input sought on the draft 1</w:t>
            </w:r>
            <w:r w:rsidRPr="00456A7B">
              <w:rPr>
                <w:rFonts w:cs="Arial"/>
                <w:sz w:val="18"/>
                <w:szCs w:val="18"/>
                <w:vertAlign w:val="superscript"/>
              </w:rPr>
              <w:t>st</w:t>
            </w:r>
            <w:r>
              <w:rPr>
                <w:rFonts w:cs="Arial"/>
                <w:sz w:val="18"/>
                <w:szCs w:val="18"/>
              </w:rPr>
              <w:t xml:space="preserve"> </w:t>
            </w:r>
            <w:r w:rsidR="00E53A73">
              <w:rPr>
                <w:rFonts w:cs="Arial"/>
                <w:sz w:val="18"/>
                <w:szCs w:val="18"/>
              </w:rPr>
              <w:t xml:space="preserve">Call for Submissions </w:t>
            </w:r>
            <w:r>
              <w:rPr>
                <w:rFonts w:cs="Arial"/>
                <w:sz w:val="18"/>
                <w:szCs w:val="18"/>
              </w:rPr>
              <w:t xml:space="preserve"> (issued in Nov</w:t>
            </w:r>
            <w:r w:rsidR="00111633">
              <w:rPr>
                <w:rFonts w:cs="Arial"/>
                <w:sz w:val="18"/>
                <w:szCs w:val="18"/>
              </w:rPr>
              <w:t>ember</w:t>
            </w:r>
            <w:r>
              <w:rPr>
                <w:rFonts w:cs="Arial"/>
                <w:sz w:val="18"/>
                <w:szCs w:val="18"/>
              </w:rPr>
              <w:t xml:space="preserve"> 2014) </w:t>
            </w:r>
          </w:p>
        </w:tc>
        <w:tc>
          <w:tcPr>
            <w:tcW w:w="1178" w:type="dxa"/>
            <w:vAlign w:val="center"/>
          </w:tcPr>
          <w:p w14:paraId="72FB96DE" w14:textId="77777777" w:rsidR="00100482" w:rsidRPr="003040DC" w:rsidRDefault="00100482" w:rsidP="00726072">
            <w:pPr>
              <w:rPr>
                <w:rFonts w:cs="Arial"/>
                <w:sz w:val="18"/>
                <w:szCs w:val="18"/>
              </w:rPr>
            </w:pPr>
            <w:r w:rsidRPr="003040DC">
              <w:rPr>
                <w:rFonts w:cs="Arial"/>
                <w:sz w:val="18"/>
                <w:szCs w:val="18"/>
              </w:rPr>
              <w:t>Sep 2014</w:t>
            </w:r>
          </w:p>
        </w:tc>
      </w:tr>
      <w:tr w:rsidR="00100482" w:rsidRPr="003040DC" w14:paraId="5C47CAE8" w14:textId="77777777" w:rsidTr="00217EEC">
        <w:trPr>
          <w:trHeight w:val="680"/>
        </w:trPr>
        <w:tc>
          <w:tcPr>
            <w:tcW w:w="2886" w:type="dxa"/>
            <w:vAlign w:val="center"/>
          </w:tcPr>
          <w:p w14:paraId="46BFE95C" w14:textId="31E4BD92" w:rsidR="00100482" w:rsidRPr="003040DC" w:rsidRDefault="00100482" w:rsidP="00726072">
            <w:pPr>
              <w:rPr>
                <w:rFonts w:cs="Arial"/>
                <w:sz w:val="18"/>
                <w:szCs w:val="18"/>
              </w:rPr>
            </w:pPr>
            <w:r w:rsidRPr="009070B1">
              <w:rPr>
                <w:rFonts w:cs="Arial"/>
                <w:sz w:val="18"/>
                <w:szCs w:val="18"/>
              </w:rPr>
              <w:t>Risk a</w:t>
            </w:r>
            <w:r w:rsidRPr="003040DC">
              <w:rPr>
                <w:rFonts w:cs="Arial"/>
                <w:sz w:val="18"/>
                <w:szCs w:val="18"/>
              </w:rPr>
              <w:t xml:space="preserve">ssessment </w:t>
            </w:r>
          </w:p>
        </w:tc>
        <w:tc>
          <w:tcPr>
            <w:tcW w:w="5258" w:type="dxa"/>
            <w:vAlign w:val="center"/>
          </w:tcPr>
          <w:p w14:paraId="4B6855AC" w14:textId="77777777" w:rsidR="00100482" w:rsidRPr="003040DC" w:rsidRDefault="00100482" w:rsidP="00726072">
            <w:pPr>
              <w:rPr>
                <w:rFonts w:cs="Arial"/>
                <w:sz w:val="18"/>
                <w:szCs w:val="18"/>
              </w:rPr>
            </w:pPr>
            <w:r w:rsidRPr="003040DC">
              <w:rPr>
                <w:rFonts w:cs="Arial"/>
                <w:sz w:val="18"/>
                <w:szCs w:val="18"/>
              </w:rPr>
              <w:t>Risk profile of food packaging chemicals using TTC approach</w:t>
            </w:r>
            <w:r>
              <w:rPr>
                <w:rFonts w:cs="Arial"/>
                <w:sz w:val="18"/>
                <w:szCs w:val="18"/>
              </w:rPr>
              <w:t xml:space="preserve"> to assess over 1300 food contact substances. </w:t>
            </w:r>
          </w:p>
        </w:tc>
        <w:tc>
          <w:tcPr>
            <w:tcW w:w="1178" w:type="dxa"/>
            <w:vAlign w:val="center"/>
          </w:tcPr>
          <w:p w14:paraId="7CAB8CDC" w14:textId="77777777" w:rsidR="00100482" w:rsidRPr="003040DC" w:rsidRDefault="00100482" w:rsidP="00726072">
            <w:pPr>
              <w:rPr>
                <w:rFonts w:cs="Arial"/>
                <w:sz w:val="18"/>
                <w:szCs w:val="18"/>
              </w:rPr>
            </w:pPr>
            <w:r>
              <w:rPr>
                <w:rFonts w:cs="Arial"/>
                <w:sz w:val="18"/>
                <w:szCs w:val="18"/>
              </w:rPr>
              <w:t>2014</w:t>
            </w:r>
          </w:p>
        </w:tc>
      </w:tr>
      <w:tr w:rsidR="00100482" w:rsidRPr="003040DC" w14:paraId="4209E270" w14:textId="77777777" w:rsidTr="00217EEC">
        <w:trPr>
          <w:trHeight w:val="216"/>
        </w:trPr>
        <w:tc>
          <w:tcPr>
            <w:tcW w:w="2886" w:type="dxa"/>
            <w:shd w:val="clear" w:color="auto" w:fill="FFFFFF" w:themeFill="background1"/>
            <w:vAlign w:val="center"/>
          </w:tcPr>
          <w:p w14:paraId="49401134" w14:textId="3D688DF9" w:rsidR="00100482" w:rsidRPr="003040DC" w:rsidRDefault="00800373" w:rsidP="00800373">
            <w:pPr>
              <w:rPr>
                <w:rFonts w:cs="Arial"/>
                <w:sz w:val="18"/>
                <w:szCs w:val="18"/>
              </w:rPr>
            </w:pPr>
            <w:r>
              <w:rPr>
                <w:rFonts w:cs="Arial"/>
                <w:sz w:val="18"/>
                <w:szCs w:val="18"/>
              </w:rPr>
              <w:t>Consultation Paper</w:t>
            </w:r>
            <w:r w:rsidR="00D248B6">
              <w:rPr>
                <w:rFonts w:cs="Arial"/>
                <w:sz w:val="18"/>
                <w:szCs w:val="18"/>
              </w:rPr>
              <w:t xml:space="preserve"> </w:t>
            </w:r>
            <w:r w:rsidR="00100482">
              <w:rPr>
                <w:rFonts w:cs="Arial"/>
                <w:sz w:val="18"/>
                <w:szCs w:val="18"/>
              </w:rPr>
              <w:t>issued</w:t>
            </w:r>
          </w:p>
        </w:tc>
        <w:tc>
          <w:tcPr>
            <w:tcW w:w="5258" w:type="dxa"/>
            <w:shd w:val="clear" w:color="auto" w:fill="FFFFFF" w:themeFill="background1"/>
            <w:vAlign w:val="center"/>
          </w:tcPr>
          <w:p w14:paraId="39E0D973" w14:textId="77777777" w:rsidR="00100482" w:rsidRPr="003040DC" w:rsidRDefault="00100482" w:rsidP="00726072">
            <w:pPr>
              <w:rPr>
                <w:rFonts w:cs="Arial"/>
                <w:sz w:val="18"/>
                <w:szCs w:val="18"/>
              </w:rPr>
            </w:pPr>
            <w:r>
              <w:rPr>
                <w:rFonts w:cs="Arial"/>
                <w:sz w:val="18"/>
                <w:szCs w:val="18"/>
              </w:rPr>
              <w:t xml:space="preserve">Risk assessment work reported and information requested on </w:t>
            </w:r>
            <w:r w:rsidRPr="003040DC">
              <w:rPr>
                <w:rFonts w:cs="Arial"/>
                <w:sz w:val="18"/>
                <w:szCs w:val="18"/>
              </w:rPr>
              <w:t>the</w:t>
            </w:r>
            <w:r>
              <w:rPr>
                <w:rFonts w:cs="Arial"/>
                <w:sz w:val="18"/>
                <w:szCs w:val="18"/>
              </w:rPr>
              <w:t xml:space="preserve"> food packaging market</w:t>
            </w:r>
            <w:r w:rsidRPr="003040DC">
              <w:rPr>
                <w:rFonts w:cs="Arial"/>
                <w:sz w:val="18"/>
                <w:szCs w:val="18"/>
              </w:rPr>
              <w:t xml:space="preserve">, </w:t>
            </w:r>
            <w:r>
              <w:rPr>
                <w:rFonts w:cs="Arial"/>
                <w:sz w:val="18"/>
                <w:szCs w:val="18"/>
              </w:rPr>
              <w:t xml:space="preserve">risk management </w:t>
            </w:r>
            <w:r w:rsidRPr="003040DC">
              <w:rPr>
                <w:rFonts w:cs="Arial"/>
                <w:sz w:val="18"/>
                <w:szCs w:val="18"/>
              </w:rPr>
              <w:t xml:space="preserve">practices used </w:t>
            </w:r>
            <w:r>
              <w:rPr>
                <w:rFonts w:cs="Arial"/>
                <w:sz w:val="18"/>
                <w:szCs w:val="18"/>
              </w:rPr>
              <w:t xml:space="preserve">by </w:t>
            </w:r>
            <w:r w:rsidRPr="003040DC">
              <w:rPr>
                <w:rFonts w:cs="Arial"/>
                <w:sz w:val="18"/>
                <w:szCs w:val="18"/>
              </w:rPr>
              <w:t>manufacturers, and gaps in curre</w:t>
            </w:r>
            <w:r>
              <w:rPr>
                <w:rFonts w:cs="Arial"/>
                <w:sz w:val="18"/>
                <w:szCs w:val="18"/>
              </w:rPr>
              <w:t xml:space="preserve">nt regulatory/non-regulatory </w:t>
            </w:r>
            <w:r w:rsidRPr="003040DC">
              <w:rPr>
                <w:rFonts w:cs="Arial"/>
                <w:sz w:val="18"/>
                <w:szCs w:val="18"/>
              </w:rPr>
              <w:t>approaches to ensure safe food packaging. See:</w:t>
            </w:r>
            <w:r>
              <w:rPr>
                <w:rFonts w:cs="Arial"/>
                <w:sz w:val="18"/>
                <w:szCs w:val="18"/>
              </w:rPr>
              <w:t xml:space="preserve"> </w:t>
            </w:r>
            <w:hyperlink r:id="rId37" w:history="1">
              <w:r w:rsidRPr="00752F6A">
                <w:rPr>
                  <w:rFonts w:cs="Arial"/>
                  <w:color w:val="0000FF"/>
                  <w:sz w:val="18"/>
                  <w:szCs w:val="18"/>
                  <w:u w:val="single"/>
                </w:rPr>
                <w:t>P1034 – Chemical Migration from Packaging into Food</w:t>
              </w:r>
            </w:hyperlink>
          </w:p>
        </w:tc>
        <w:tc>
          <w:tcPr>
            <w:tcW w:w="1178" w:type="dxa"/>
            <w:shd w:val="clear" w:color="auto" w:fill="FFFFFF" w:themeFill="background1"/>
            <w:vAlign w:val="center"/>
          </w:tcPr>
          <w:p w14:paraId="0202D74A" w14:textId="77777777" w:rsidR="00100482" w:rsidRPr="003040DC" w:rsidRDefault="00100482" w:rsidP="00726072">
            <w:pPr>
              <w:rPr>
                <w:rFonts w:cs="Arial"/>
                <w:sz w:val="18"/>
                <w:szCs w:val="18"/>
              </w:rPr>
            </w:pPr>
            <w:r w:rsidRPr="003040DC">
              <w:rPr>
                <w:rFonts w:cs="Arial"/>
                <w:sz w:val="18"/>
                <w:szCs w:val="18"/>
              </w:rPr>
              <w:t>Nov 2014</w:t>
            </w:r>
          </w:p>
        </w:tc>
      </w:tr>
      <w:tr w:rsidR="00100482" w:rsidRPr="003040DC" w14:paraId="3B20BFDA" w14:textId="77777777" w:rsidTr="007200EC">
        <w:trPr>
          <w:trHeight w:val="624"/>
        </w:trPr>
        <w:tc>
          <w:tcPr>
            <w:tcW w:w="2886" w:type="dxa"/>
            <w:vAlign w:val="center"/>
          </w:tcPr>
          <w:p w14:paraId="1040B125" w14:textId="7800044A" w:rsidR="00100482" w:rsidRDefault="00100482" w:rsidP="00726072">
            <w:pPr>
              <w:rPr>
                <w:rFonts w:cs="Arial"/>
                <w:color w:val="000000"/>
                <w:sz w:val="18"/>
                <w:szCs w:val="18"/>
              </w:rPr>
            </w:pPr>
            <w:r w:rsidRPr="003040DC">
              <w:rPr>
                <w:rFonts w:cs="Arial"/>
                <w:sz w:val="18"/>
                <w:szCs w:val="18"/>
              </w:rPr>
              <w:t xml:space="preserve">PAG meeting </w:t>
            </w:r>
            <w:r w:rsidR="004F6E82">
              <w:rPr>
                <w:rFonts w:cs="Arial"/>
                <w:sz w:val="18"/>
                <w:szCs w:val="18"/>
              </w:rPr>
              <w:t>#3</w:t>
            </w:r>
          </w:p>
        </w:tc>
        <w:tc>
          <w:tcPr>
            <w:tcW w:w="5258" w:type="dxa"/>
            <w:vAlign w:val="center"/>
          </w:tcPr>
          <w:p w14:paraId="1CD88361" w14:textId="09B75DD8" w:rsidR="00100482" w:rsidRDefault="00100482" w:rsidP="00E53A73">
            <w:pPr>
              <w:rPr>
                <w:rFonts w:cs="Arial"/>
                <w:color w:val="000000"/>
                <w:sz w:val="18"/>
                <w:szCs w:val="18"/>
              </w:rPr>
            </w:pPr>
            <w:r>
              <w:rPr>
                <w:rFonts w:cs="Arial"/>
                <w:sz w:val="18"/>
                <w:szCs w:val="18"/>
              </w:rPr>
              <w:t>FSANZ sought input on issues identified in submissions to the 1</w:t>
            </w:r>
            <w:r w:rsidRPr="002620D8">
              <w:rPr>
                <w:rFonts w:cs="Arial"/>
                <w:sz w:val="18"/>
                <w:szCs w:val="18"/>
                <w:vertAlign w:val="superscript"/>
              </w:rPr>
              <w:t>st</w:t>
            </w:r>
            <w:r>
              <w:rPr>
                <w:rFonts w:cs="Arial"/>
                <w:sz w:val="18"/>
                <w:szCs w:val="18"/>
              </w:rPr>
              <w:t xml:space="preserve"> C</w:t>
            </w:r>
            <w:r w:rsidR="00E53A73">
              <w:rPr>
                <w:rFonts w:cs="Arial"/>
                <w:sz w:val="18"/>
                <w:szCs w:val="18"/>
              </w:rPr>
              <w:t>FS</w:t>
            </w:r>
            <w:r>
              <w:rPr>
                <w:rFonts w:cs="Arial"/>
                <w:sz w:val="18"/>
                <w:szCs w:val="18"/>
              </w:rPr>
              <w:t>.</w:t>
            </w:r>
          </w:p>
        </w:tc>
        <w:tc>
          <w:tcPr>
            <w:tcW w:w="1178" w:type="dxa"/>
            <w:vAlign w:val="center"/>
          </w:tcPr>
          <w:p w14:paraId="3934D6C9" w14:textId="77777777" w:rsidR="00100482" w:rsidRDefault="00100482" w:rsidP="00726072">
            <w:pPr>
              <w:rPr>
                <w:rFonts w:cs="Arial"/>
                <w:color w:val="000000"/>
                <w:sz w:val="18"/>
                <w:szCs w:val="18"/>
              </w:rPr>
            </w:pPr>
            <w:r>
              <w:rPr>
                <w:rFonts w:cs="Arial"/>
                <w:sz w:val="18"/>
                <w:szCs w:val="18"/>
              </w:rPr>
              <w:t xml:space="preserve">Mar </w:t>
            </w:r>
            <w:r w:rsidRPr="003040DC">
              <w:rPr>
                <w:rFonts w:cs="Arial"/>
                <w:sz w:val="18"/>
                <w:szCs w:val="18"/>
              </w:rPr>
              <w:t>2015</w:t>
            </w:r>
          </w:p>
        </w:tc>
      </w:tr>
      <w:tr w:rsidR="00100482" w:rsidRPr="003040DC" w14:paraId="1483F076" w14:textId="77777777" w:rsidTr="00217EEC">
        <w:trPr>
          <w:trHeight w:val="680"/>
        </w:trPr>
        <w:tc>
          <w:tcPr>
            <w:tcW w:w="2886" w:type="dxa"/>
            <w:vAlign w:val="center"/>
          </w:tcPr>
          <w:p w14:paraId="726CD812" w14:textId="38DE438D" w:rsidR="00100482" w:rsidRPr="009E1786" w:rsidRDefault="00100482" w:rsidP="006D1C3D">
            <w:pPr>
              <w:rPr>
                <w:rFonts w:cs="Arial"/>
                <w:color w:val="000000"/>
                <w:sz w:val="18"/>
                <w:szCs w:val="18"/>
              </w:rPr>
            </w:pPr>
            <w:r>
              <w:rPr>
                <w:rFonts w:cs="Arial"/>
                <w:color w:val="000000"/>
                <w:sz w:val="18"/>
                <w:szCs w:val="18"/>
              </w:rPr>
              <w:t>1</w:t>
            </w:r>
            <w:r w:rsidRPr="00062542">
              <w:rPr>
                <w:rFonts w:cs="Arial"/>
                <w:color w:val="000000"/>
                <w:sz w:val="18"/>
                <w:szCs w:val="18"/>
                <w:vertAlign w:val="superscript"/>
              </w:rPr>
              <w:t>st</w:t>
            </w:r>
            <w:r>
              <w:rPr>
                <w:rFonts w:cs="Arial"/>
                <w:color w:val="000000"/>
                <w:sz w:val="18"/>
                <w:szCs w:val="18"/>
              </w:rPr>
              <w:t xml:space="preserve"> C</w:t>
            </w:r>
            <w:r w:rsidR="006D1C3D">
              <w:rPr>
                <w:rFonts w:cs="Arial"/>
                <w:color w:val="000000"/>
                <w:sz w:val="18"/>
                <w:szCs w:val="18"/>
              </w:rPr>
              <w:t xml:space="preserve">onsultation </w:t>
            </w:r>
            <w:r>
              <w:rPr>
                <w:rFonts w:cs="Arial"/>
                <w:color w:val="000000"/>
                <w:sz w:val="18"/>
                <w:szCs w:val="18"/>
              </w:rPr>
              <w:t>P</w:t>
            </w:r>
            <w:r w:rsidR="006D1C3D">
              <w:rPr>
                <w:rFonts w:cs="Arial"/>
                <w:color w:val="000000"/>
                <w:sz w:val="18"/>
                <w:szCs w:val="18"/>
              </w:rPr>
              <w:t>aper</w:t>
            </w:r>
            <w:r>
              <w:rPr>
                <w:rFonts w:cs="Arial"/>
                <w:color w:val="000000"/>
                <w:sz w:val="18"/>
                <w:szCs w:val="18"/>
              </w:rPr>
              <w:t xml:space="preserve"> </w:t>
            </w:r>
            <w:r w:rsidRPr="009E1786">
              <w:rPr>
                <w:rFonts w:cs="Arial"/>
                <w:color w:val="000000"/>
                <w:sz w:val="18"/>
                <w:szCs w:val="18"/>
              </w:rPr>
              <w:t xml:space="preserve">feedback </w:t>
            </w:r>
          </w:p>
        </w:tc>
        <w:tc>
          <w:tcPr>
            <w:tcW w:w="5258" w:type="dxa"/>
            <w:vAlign w:val="center"/>
          </w:tcPr>
          <w:p w14:paraId="54AA2E7D" w14:textId="3FB0BFF9" w:rsidR="00100482" w:rsidRPr="009E1786" w:rsidRDefault="00100482" w:rsidP="00F500D1">
            <w:pPr>
              <w:rPr>
                <w:rFonts w:cs="Arial"/>
                <w:color w:val="000000"/>
                <w:sz w:val="18"/>
                <w:szCs w:val="18"/>
              </w:rPr>
            </w:pPr>
            <w:r>
              <w:rPr>
                <w:rFonts w:cs="Arial"/>
                <w:color w:val="000000"/>
                <w:sz w:val="18"/>
                <w:szCs w:val="18"/>
              </w:rPr>
              <w:t xml:space="preserve">Wide stakeholder consultation </w:t>
            </w:r>
            <w:r w:rsidRPr="009E1786">
              <w:rPr>
                <w:rFonts w:cs="Arial"/>
                <w:color w:val="000000"/>
                <w:sz w:val="18"/>
                <w:szCs w:val="18"/>
              </w:rPr>
              <w:t>to obtain views on</w:t>
            </w:r>
            <w:r>
              <w:rPr>
                <w:rFonts w:cs="Arial"/>
                <w:color w:val="000000"/>
                <w:sz w:val="18"/>
                <w:szCs w:val="18"/>
              </w:rPr>
              <w:t xml:space="preserve"> 1</w:t>
            </w:r>
            <w:r w:rsidRPr="00E33B7F">
              <w:rPr>
                <w:rFonts w:cs="Arial"/>
                <w:color w:val="000000"/>
                <w:sz w:val="18"/>
                <w:szCs w:val="18"/>
                <w:vertAlign w:val="superscript"/>
              </w:rPr>
              <w:t>st</w:t>
            </w:r>
            <w:r>
              <w:rPr>
                <w:rFonts w:cs="Arial"/>
                <w:color w:val="000000"/>
                <w:sz w:val="18"/>
                <w:szCs w:val="18"/>
              </w:rPr>
              <w:t xml:space="preserve"> </w:t>
            </w:r>
            <w:r w:rsidR="00E53A73">
              <w:rPr>
                <w:rFonts w:cs="Arial"/>
                <w:color w:val="000000"/>
                <w:sz w:val="18"/>
                <w:szCs w:val="18"/>
              </w:rPr>
              <w:t>Call for Submissions.</w:t>
            </w:r>
            <w:r w:rsidRPr="009E1786">
              <w:rPr>
                <w:rFonts w:cs="Arial"/>
                <w:color w:val="000000"/>
                <w:sz w:val="18"/>
                <w:szCs w:val="18"/>
              </w:rPr>
              <w:t xml:space="preserve"> Parties consulted through </w:t>
            </w:r>
            <w:r>
              <w:rPr>
                <w:rFonts w:cs="Arial"/>
                <w:color w:val="000000"/>
                <w:sz w:val="18"/>
                <w:szCs w:val="18"/>
              </w:rPr>
              <w:t>teleconference</w:t>
            </w:r>
            <w:r w:rsidRPr="009E1786">
              <w:rPr>
                <w:rFonts w:cs="Arial"/>
                <w:color w:val="000000"/>
                <w:sz w:val="18"/>
                <w:szCs w:val="18"/>
              </w:rPr>
              <w:t xml:space="preserve">, face-to-face meetings, </w:t>
            </w:r>
            <w:r>
              <w:rPr>
                <w:rFonts w:cs="Arial"/>
                <w:color w:val="000000"/>
                <w:sz w:val="18"/>
                <w:szCs w:val="18"/>
              </w:rPr>
              <w:t xml:space="preserve">and </w:t>
            </w:r>
            <w:r w:rsidRPr="009E1786">
              <w:rPr>
                <w:rFonts w:cs="Arial"/>
                <w:color w:val="000000"/>
                <w:sz w:val="18"/>
                <w:szCs w:val="18"/>
              </w:rPr>
              <w:t xml:space="preserve">industry </w:t>
            </w:r>
            <w:r>
              <w:rPr>
                <w:rFonts w:cs="Arial"/>
                <w:color w:val="000000"/>
                <w:sz w:val="18"/>
                <w:szCs w:val="18"/>
              </w:rPr>
              <w:t xml:space="preserve">site visits and </w:t>
            </w:r>
            <w:r w:rsidRPr="009E1786">
              <w:rPr>
                <w:rFonts w:cs="Arial"/>
                <w:color w:val="000000"/>
                <w:sz w:val="18"/>
                <w:szCs w:val="18"/>
              </w:rPr>
              <w:t>included government (</w:t>
            </w:r>
            <w:r w:rsidR="00E53A73">
              <w:rPr>
                <w:rFonts w:cs="Arial"/>
                <w:color w:val="000000"/>
                <w:sz w:val="18"/>
                <w:szCs w:val="18"/>
              </w:rPr>
              <w:t xml:space="preserve">NZ </w:t>
            </w:r>
            <w:r>
              <w:rPr>
                <w:rFonts w:cs="Arial"/>
                <w:color w:val="000000"/>
                <w:sz w:val="18"/>
                <w:szCs w:val="18"/>
              </w:rPr>
              <w:t>MPI</w:t>
            </w:r>
            <w:r w:rsidRPr="009E1786">
              <w:rPr>
                <w:rFonts w:cs="Arial"/>
                <w:color w:val="000000"/>
                <w:sz w:val="18"/>
                <w:szCs w:val="18"/>
              </w:rPr>
              <w:t xml:space="preserve">, </w:t>
            </w:r>
            <w:r>
              <w:rPr>
                <w:rFonts w:cs="Arial"/>
                <w:color w:val="000000"/>
                <w:sz w:val="18"/>
                <w:szCs w:val="18"/>
              </w:rPr>
              <w:t xml:space="preserve">Commonwealth departments, </w:t>
            </w:r>
            <w:r w:rsidR="00333386">
              <w:rPr>
                <w:rFonts w:cs="Arial"/>
                <w:color w:val="000000"/>
                <w:sz w:val="18"/>
                <w:szCs w:val="18"/>
              </w:rPr>
              <w:t>s</w:t>
            </w:r>
            <w:r w:rsidRPr="009E1786">
              <w:rPr>
                <w:rFonts w:cs="Arial"/>
                <w:color w:val="000000"/>
                <w:sz w:val="18"/>
                <w:szCs w:val="18"/>
              </w:rPr>
              <w:t xml:space="preserve">tates, </w:t>
            </w:r>
            <w:r w:rsidR="00333386">
              <w:rPr>
                <w:rFonts w:cs="Arial"/>
                <w:color w:val="000000"/>
                <w:sz w:val="18"/>
                <w:szCs w:val="18"/>
              </w:rPr>
              <w:t>t</w:t>
            </w:r>
            <w:r w:rsidRPr="009E1786">
              <w:rPr>
                <w:rFonts w:cs="Arial"/>
                <w:color w:val="000000"/>
                <w:sz w:val="18"/>
                <w:szCs w:val="18"/>
              </w:rPr>
              <w:t>erritories and local city councils representatives</w:t>
            </w:r>
            <w:r>
              <w:rPr>
                <w:rFonts w:cs="Arial"/>
                <w:color w:val="000000"/>
                <w:sz w:val="18"/>
                <w:szCs w:val="18"/>
              </w:rPr>
              <w:t>)</w:t>
            </w:r>
            <w:r w:rsidRPr="009E1786">
              <w:rPr>
                <w:rFonts w:cs="Arial"/>
                <w:color w:val="000000"/>
                <w:sz w:val="18"/>
                <w:szCs w:val="18"/>
              </w:rPr>
              <w:t>, industry</w:t>
            </w:r>
            <w:r>
              <w:rPr>
                <w:rFonts w:cs="Arial"/>
                <w:color w:val="000000"/>
                <w:sz w:val="18"/>
                <w:szCs w:val="18"/>
              </w:rPr>
              <w:t xml:space="preserve"> representatives</w:t>
            </w:r>
            <w:r w:rsidRPr="009E1786">
              <w:rPr>
                <w:rFonts w:cs="Arial"/>
                <w:color w:val="000000"/>
                <w:sz w:val="18"/>
                <w:szCs w:val="18"/>
              </w:rPr>
              <w:t xml:space="preserve">, and consumer groups. </w:t>
            </w:r>
            <w:r w:rsidR="00F500D1">
              <w:rPr>
                <w:rFonts w:cs="Arial"/>
                <w:color w:val="000000"/>
                <w:sz w:val="18"/>
                <w:szCs w:val="18"/>
              </w:rPr>
              <w:t xml:space="preserve">This included </w:t>
            </w:r>
            <w:r w:rsidR="00F500D1" w:rsidRPr="00F500D1">
              <w:rPr>
                <w:rFonts w:cs="Arial"/>
                <w:color w:val="000000"/>
                <w:sz w:val="18"/>
                <w:szCs w:val="18"/>
              </w:rPr>
              <w:t xml:space="preserve"> focussed face to face stakeholder </w:t>
            </w:r>
            <w:r w:rsidR="00F500D1">
              <w:rPr>
                <w:rFonts w:cs="Arial"/>
                <w:color w:val="000000"/>
                <w:sz w:val="18"/>
                <w:szCs w:val="18"/>
              </w:rPr>
              <w:t xml:space="preserve">consultations </w:t>
            </w:r>
            <w:r w:rsidR="00F500D1" w:rsidRPr="00F500D1">
              <w:rPr>
                <w:rFonts w:cs="Arial"/>
                <w:color w:val="000000"/>
                <w:sz w:val="18"/>
                <w:szCs w:val="18"/>
              </w:rPr>
              <w:t xml:space="preserve">in Melbourne, Sydney and in New Zealand  </w:t>
            </w:r>
          </w:p>
        </w:tc>
        <w:tc>
          <w:tcPr>
            <w:tcW w:w="1178" w:type="dxa"/>
            <w:vAlign w:val="center"/>
          </w:tcPr>
          <w:p w14:paraId="1FC6464E" w14:textId="77777777" w:rsidR="00100482" w:rsidRPr="009E1786" w:rsidRDefault="00100482" w:rsidP="00726072">
            <w:pPr>
              <w:rPr>
                <w:rFonts w:cs="Arial"/>
                <w:color w:val="000000"/>
                <w:sz w:val="18"/>
                <w:szCs w:val="18"/>
              </w:rPr>
            </w:pPr>
            <w:r>
              <w:rPr>
                <w:rFonts w:cs="Arial"/>
                <w:color w:val="000000"/>
                <w:sz w:val="18"/>
                <w:szCs w:val="18"/>
              </w:rPr>
              <w:t>2015</w:t>
            </w:r>
          </w:p>
        </w:tc>
      </w:tr>
      <w:tr w:rsidR="00100482" w:rsidRPr="003040DC" w14:paraId="22555F6F" w14:textId="77777777" w:rsidTr="007200EC">
        <w:trPr>
          <w:trHeight w:val="624"/>
        </w:trPr>
        <w:tc>
          <w:tcPr>
            <w:tcW w:w="2886" w:type="dxa"/>
            <w:vAlign w:val="center"/>
          </w:tcPr>
          <w:p w14:paraId="24AC9558" w14:textId="77777777" w:rsidR="00100482" w:rsidRDefault="00100482" w:rsidP="00726072">
            <w:pPr>
              <w:rPr>
                <w:rFonts w:cs="Arial"/>
                <w:sz w:val="18"/>
                <w:szCs w:val="18"/>
              </w:rPr>
            </w:pPr>
            <w:r w:rsidRPr="009E1786">
              <w:rPr>
                <w:rFonts w:cs="Arial"/>
                <w:sz w:val="18"/>
                <w:szCs w:val="18"/>
              </w:rPr>
              <w:t>Update to FSANZ Board</w:t>
            </w:r>
          </w:p>
        </w:tc>
        <w:tc>
          <w:tcPr>
            <w:tcW w:w="5258" w:type="dxa"/>
            <w:vAlign w:val="center"/>
          </w:tcPr>
          <w:p w14:paraId="0BEA0679" w14:textId="6CCF7BF1" w:rsidR="00100482" w:rsidRPr="003040DC" w:rsidRDefault="00100482" w:rsidP="00E53A73">
            <w:pPr>
              <w:rPr>
                <w:rFonts w:cs="Arial"/>
                <w:sz w:val="18"/>
                <w:szCs w:val="18"/>
              </w:rPr>
            </w:pPr>
            <w:r>
              <w:rPr>
                <w:rFonts w:cs="Arial"/>
                <w:sz w:val="18"/>
                <w:szCs w:val="18"/>
              </w:rPr>
              <w:t>Presented outcomes of the 1</w:t>
            </w:r>
            <w:r w:rsidRPr="00E33B7F">
              <w:rPr>
                <w:rFonts w:cs="Arial"/>
                <w:sz w:val="18"/>
                <w:szCs w:val="18"/>
                <w:vertAlign w:val="superscript"/>
              </w:rPr>
              <w:t>st</w:t>
            </w:r>
            <w:r>
              <w:rPr>
                <w:rFonts w:cs="Arial"/>
                <w:sz w:val="18"/>
                <w:szCs w:val="18"/>
              </w:rPr>
              <w:t xml:space="preserve"> </w:t>
            </w:r>
            <w:r w:rsidR="00E53A73">
              <w:rPr>
                <w:rFonts w:cs="Arial"/>
                <w:sz w:val="18"/>
                <w:szCs w:val="18"/>
              </w:rPr>
              <w:t xml:space="preserve">Call for Submissions </w:t>
            </w:r>
            <w:r>
              <w:rPr>
                <w:rFonts w:cs="Arial"/>
                <w:sz w:val="18"/>
                <w:szCs w:val="18"/>
              </w:rPr>
              <w:t>and an outline of work in progress.</w:t>
            </w:r>
          </w:p>
        </w:tc>
        <w:tc>
          <w:tcPr>
            <w:tcW w:w="1178" w:type="dxa"/>
            <w:vAlign w:val="center"/>
          </w:tcPr>
          <w:p w14:paraId="2C06F798" w14:textId="77777777" w:rsidR="00100482" w:rsidRPr="003040DC" w:rsidRDefault="00100482" w:rsidP="00726072">
            <w:pPr>
              <w:rPr>
                <w:rFonts w:cs="Arial"/>
                <w:sz w:val="18"/>
                <w:szCs w:val="18"/>
              </w:rPr>
            </w:pPr>
            <w:r>
              <w:rPr>
                <w:rFonts w:cs="Arial"/>
                <w:sz w:val="18"/>
                <w:szCs w:val="18"/>
              </w:rPr>
              <w:t>Sep 2015</w:t>
            </w:r>
          </w:p>
        </w:tc>
      </w:tr>
      <w:tr w:rsidR="00100482" w:rsidRPr="003040DC" w14:paraId="1BB45B8D" w14:textId="77777777" w:rsidTr="00217EEC">
        <w:trPr>
          <w:trHeight w:val="680"/>
        </w:trPr>
        <w:tc>
          <w:tcPr>
            <w:tcW w:w="2886" w:type="dxa"/>
            <w:vAlign w:val="center"/>
          </w:tcPr>
          <w:p w14:paraId="403AD74D" w14:textId="7E2BEB03" w:rsidR="00100482" w:rsidRPr="007200EC" w:rsidRDefault="00100482" w:rsidP="00726072">
            <w:pPr>
              <w:rPr>
                <w:rFonts w:cs="Arial"/>
                <w:sz w:val="18"/>
                <w:szCs w:val="18"/>
              </w:rPr>
            </w:pPr>
            <w:r w:rsidRPr="007200EC">
              <w:rPr>
                <w:rFonts w:cs="Arial"/>
                <w:sz w:val="18"/>
                <w:szCs w:val="18"/>
              </w:rPr>
              <w:t xml:space="preserve">Analytical survey </w:t>
            </w:r>
            <w:r w:rsidR="00217EEC" w:rsidRPr="007200EC">
              <w:rPr>
                <w:rFonts w:cs="Arial"/>
                <w:sz w:val="18"/>
                <w:szCs w:val="18"/>
              </w:rPr>
              <w:t>(NZ M</w:t>
            </w:r>
            <w:r w:rsidRPr="007200EC">
              <w:rPr>
                <w:rFonts w:cs="Arial"/>
                <w:sz w:val="18"/>
                <w:szCs w:val="18"/>
              </w:rPr>
              <w:t>PI)</w:t>
            </w:r>
          </w:p>
        </w:tc>
        <w:tc>
          <w:tcPr>
            <w:tcW w:w="5258" w:type="dxa"/>
            <w:vAlign w:val="center"/>
          </w:tcPr>
          <w:p w14:paraId="2C6284BC" w14:textId="18C9CEA2" w:rsidR="00100482" w:rsidRPr="007200EC" w:rsidRDefault="00100482" w:rsidP="007200EC">
            <w:pPr>
              <w:rPr>
                <w:rFonts w:cs="Arial"/>
                <w:sz w:val="18"/>
                <w:szCs w:val="18"/>
              </w:rPr>
            </w:pPr>
            <w:r w:rsidRPr="007200EC">
              <w:rPr>
                <w:rFonts w:cs="Arial"/>
                <w:sz w:val="18"/>
                <w:szCs w:val="18"/>
              </w:rPr>
              <w:t xml:space="preserve">Commenced </w:t>
            </w:r>
            <w:r w:rsidR="007200EC" w:rsidRPr="007200EC">
              <w:rPr>
                <w:rFonts w:cs="Arial"/>
                <w:sz w:val="18"/>
                <w:szCs w:val="18"/>
              </w:rPr>
              <w:t xml:space="preserve">analytical </w:t>
            </w:r>
            <w:r w:rsidRPr="007200EC">
              <w:rPr>
                <w:rFonts w:cs="Arial"/>
                <w:sz w:val="18"/>
                <w:szCs w:val="18"/>
              </w:rPr>
              <w:t xml:space="preserve">surveys to obtain occurrence data for </w:t>
            </w:r>
            <w:r w:rsidR="007200EC" w:rsidRPr="007200EC">
              <w:rPr>
                <w:rFonts w:cs="Arial"/>
                <w:sz w:val="18"/>
                <w:szCs w:val="18"/>
                <w:lang w:val="en-NZ"/>
              </w:rPr>
              <w:t>phthalates, photo initiators and printing inks</w:t>
            </w:r>
            <w:r w:rsidR="007200EC" w:rsidRPr="007200EC">
              <w:rPr>
                <w:rFonts w:cs="Arial"/>
                <w:sz w:val="18"/>
                <w:szCs w:val="18"/>
              </w:rPr>
              <w:t xml:space="preserve"> in takeaway and packaged foods.</w:t>
            </w:r>
          </w:p>
        </w:tc>
        <w:tc>
          <w:tcPr>
            <w:tcW w:w="1178" w:type="dxa"/>
            <w:vAlign w:val="center"/>
          </w:tcPr>
          <w:p w14:paraId="5A8AD904" w14:textId="77777777" w:rsidR="00100482" w:rsidRPr="007200EC" w:rsidRDefault="00100482" w:rsidP="00726072">
            <w:pPr>
              <w:rPr>
                <w:rFonts w:cs="Arial"/>
                <w:sz w:val="18"/>
                <w:szCs w:val="18"/>
              </w:rPr>
            </w:pPr>
            <w:r w:rsidRPr="007200EC">
              <w:rPr>
                <w:rFonts w:cs="Arial"/>
                <w:sz w:val="18"/>
                <w:szCs w:val="18"/>
              </w:rPr>
              <w:t>2015-2016</w:t>
            </w:r>
          </w:p>
        </w:tc>
      </w:tr>
      <w:tr w:rsidR="00100482" w:rsidRPr="003040DC" w14:paraId="25F1B6C3" w14:textId="77777777" w:rsidTr="00217EEC">
        <w:trPr>
          <w:trHeight w:val="680"/>
        </w:trPr>
        <w:tc>
          <w:tcPr>
            <w:tcW w:w="2886" w:type="dxa"/>
            <w:vAlign w:val="center"/>
          </w:tcPr>
          <w:p w14:paraId="7128F5AE" w14:textId="77777777" w:rsidR="00100482" w:rsidRPr="001C5E4A" w:rsidRDefault="00100482" w:rsidP="00726072">
            <w:pPr>
              <w:rPr>
                <w:rFonts w:cs="Arial"/>
                <w:sz w:val="18"/>
                <w:szCs w:val="18"/>
              </w:rPr>
            </w:pPr>
            <w:r>
              <w:rPr>
                <w:rFonts w:cs="Arial"/>
                <w:sz w:val="18"/>
                <w:szCs w:val="18"/>
              </w:rPr>
              <w:t xml:space="preserve">FSANZ-ISFR Packaging </w:t>
            </w:r>
            <w:r w:rsidRPr="001C5E4A">
              <w:rPr>
                <w:rFonts w:cs="Arial"/>
                <w:sz w:val="18"/>
                <w:szCs w:val="18"/>
              </w:rPr>
              <w:t>workshop</w:t>
            </w:r>
          </w:p>
        </w:tc>
        <w:tc>
          <w:tcPr>
            <w:tcW w:w="5258" w:type="dxa"/>
            <w:vAlign w:val="center"/>
          </w:tcPr>
          <w:p w14:paraId="4B65FCA9" w14:textId="7AC198E8" w:rsidR="00100482" w:rsidRPr="001C5E4A" w:rsidRDefault="00100482" w:rsidP="00726072">
            <w:pPr>
              <w:rPr>
                <w:rFonts w:cs="Arial"/>
                <w:sz w:val="18"/>
                <w:szCs w:val="18"/>
              </w:rPr>
            </w:pPr>
            <w:r>
              <w:rPr>
                <w:rFonts w:cs="Arial"/>
                <w:sz w:val="18"/>
                <w:szCs w:val="18"/>
              </w:rPr>
              <w:t xml:space="preserve">Workshop held with Implementation Subcommittee for Food Regulation (ISFR) representatives to share progress on P1034 and obtain input on proposed risk management options. </w:t>
            </w:r>
          </w:p>
        </w:tc>
        <w:tc>
          <w:tcPr>
            <w:tcW w:w="1178" w:type="dxa"/>
            <w:vAlign w:val="center"/>
          </w:tcPr>
          <w:p w14:paraId="229AC12E" w14:textId="77777777" w:rsidR="00100482" w:rsidRPr="001C5E4A" w:rsidRDefault="00100482" w:rsidP="00726072">
            <w:pPr>
              <w:rPr>
                <w:rFonts w:cs="Arial"/>
                <w:sz w:val="18"/>
                <w:szCs w:val="18"/>
              </w:rPr>
            </w:pPr>
            <w:r>
              <w:rPr>
                <w:rFonts w:cs="Arial"/>
                <w:sz w:val="18"/>
                <w:szCs w:val="18"/>
              </w:rPr>
              <w:t>Dec 2015</w:t>
            </w:r>
          </w:p>
        </w:tc>
      </w:tr>
      <w:tr w:rsidR="00100482" w:rsidRPr="003040DC" w14:paraId="23C135A3" w14:textId="77777777" w:rsidTr="00217EEC">
        <w:trPr>
          <w:trHeight w:val="680"/>
        </w:trPr>
        <w:tc>
          <w:tcPr>
            <w:tcW w:w="2886" w:type="dxa"/>
            <w:vAlign w:val="center"/>
          </w:tcPr>
          <w:p w14:paraId="44FD2165" w14:textId="1877279D" w:rsidR="00100482" w:rsidRPr="003040DC" w:rsidRDefault="00100482" w:rsidP="00726072">
            <w:pPr>
              <w:rPr>
                <w:rFonts w:cs="Arial"/>
                <w:sz w:val="18"/>
                <w:szCs w:val="18"/>
              </w:rPr>
            </w:pPr>
            <w:r w:rsidRPr="00456A7B">
              <w:rPr>
                <w:rFonts w:cs="Arial"/>
                <w:sz w:val="18"/>
                <w:szCs w:val="18"/>
              </w:rPr>
              <w:t>PAG Meeting</w:t>
            </w:r>
            <w:r w:rsidR="004F6E82">
              <w:rPr>
                <w:rFonts w:cs="Arial"/>
                <w:sz w:val="18"/>
                <w:szCs w:val="18"/>
              </w:rPr>
              <w:t xml:space="preserve"> #4</w:t>
            </w:r>
          </w:p>
        </w:tc>
        <w:tc>
          <w:tcPr>
            <w:tcW w:w="5258" w:type="dxa"/>
            <w:vAlign w:val="center"/>
          </w:tcPr>
          <w:p w14:paraId="3DF6EF44" w14:textId="77777777" w:rsidR="00100482" w:rsidRPr="003040DC" w:rsidRDefault="00100482" w:rsidP="00726072">
            <w:pPr>
              <w:rPr>
                <w:rFonts w:cs="Arial"/>
                <w:sz w:val="18"/>
                <w:szCs w:val="18"/>
              </w:rPr>
            </w:pPr>
            <w:r w:rsidRPr="002620D8">
              <w:rPr>
                <w:rFonts w:cs="Arial"/>
                <w:sz w:val="18"/>
                <w:szCs w:val="18"/>
              </w:rPr>
              <w:t xml:space="preserve">FSANZ sought input on </w:t>
            </w:r>
            <w:r>
              <w:rPr>
                <w:rFonts w:cs="Arial"/>
                <w:sz w:val="18"/>
                <w:szCs w:val="18"/>
              </w:rPr>
              <w:t xml:space="preserve">the CMPF </w:t>
            </w:r>
            <w:r w:rsidRPr="002620D8">
              <w:rPr>
                <w:rFonts w:cs="Arial"/>
                <w:sz w:val="18"/>
                <w:szCs w:val="18"/>
              </w:rPr>
              <w:t xml:space="preserve">risk profile </w:t>
            </w:r>
            <w:r>
              <w:rPr>
                <w:rFonts w:cs="Arial"/>
                <w:sz w:val="18"/>
                <w:szCs w:val="18"/>
              </w:rPr>
              <w:t xml:space="preserve">using the TTC approach and </w:t>
            </w:r>
            <w:r w:rsidRPr="002620D8">
              <w:rPr>
                <w:rFonts w:cs="Arial"/>
                <w:sz w:val="18"/>
                <w:szCs w:val="18"/>
              </w:rPr>
              <w:t>on proposed risk management options. The analysis of information provided by industry on CMPF control measures was presented.</w:t>
            </w:r>
            <w:r w:rsidRPr="00F66422">
              <w:t xml:space="preserve">  </w:t>
            </w:r>
            <w:r>
              <w:rPr>
                <w:rFonts w:cs="Arial"/>
                <w:sz w:val="18"/>
                <w:szCs w:val="18"/>
              </w:rPr>
              <w:t xml:space="preserve"> </w:t>
            </w:r>
          </w:p>
        </w:tc>
        <w:tc>
          <w:tcPr>
            <w:tcW w:w="1178" w:type="dxa"/>
            <w:vAlign w:val="center"/>
          </w:tcPr>
          <w:p w14:paraId="4545D9CC" w14:textId="77777777" w:rsidR="00100482" w:rsidRPr="003040DC" w:rsidRDefault="00100482" w:rsidP="00726072">
            <w:pPr>
              <w:rPr>
                <w:rFonts w:cs="Arial"/>
                <w:sz w:val="18"/>
                <w:szCs w:val="18"/>
              </w:rPr>
            </w:pPr>
            <w:r w:rsidRPr="00456A7B">
              <w:rPr>
                <w:rFonts w:cs="Arial"/>
                <w:sz w:val="18"/>
                <w:szCs w:val="18"/>
              </w:rPr>
              <w:t>Jan 2016</w:t>
            </w:r>
          </w:p>
        </w:tc>
      </w:tr>
      <w:tr w:rsidR="00100482" w:rsidRPr="003040DC" w14:paraId="093D115F" w14:textId="77777777" w:rsidTr="00217EEC">
        <w:trPr>
          <w:trHeight w:val="680"/>
        </w:trPr>
        <w:tc>
          <w:tcPr>
            <w:tcW w:w="2886" w:type="dxa"/>
            <w:shd w:val="clear" w:color="auto" w:fill="FFFFFF" w:themeFill="background1"/>
            <w:vAlign w:val="center"/>
          </w:tcPr>
          <w:p w14:paraId="46336F7A" w14:textId="1216DD22" w:rsidR="00100482" w:rsidRPr="003040DC" w:rsidRDefault="00100482" w:rsidP="00726072">
            <w:pPr>
              <w:rPr>
                <w:rFonts w:cs="Arial"/>
                <w:sz w:val="18"/>
                <w:szCs w:val="18"/>
              </w:rPr>
            </w:pPr>
            <w:r>
              <w:rPr>
                <w:rFonts w:cs="Arial"/>
                <w:sz w:val="18"/>
                <w:szCs w:val="18"/>
              </w:rPr>
              <w:t>A</w:t>
            </w:r>
            <w:r w:rsidRPr="003040DC">
              <w:rPr>
                <w:rFonts w:cs="Arial"/>
                <w:sz w:val="18"/>
                <w:szCs w:val="18"/>
              </w:rPr>
              <w:t>nalytical survey</w:t>
            </w:r>
            <w:r>
              <w:rPr>
                <w:rFonts w:cs="Arial"/>
                <w:sz w:val="18"/>
                <w:szCs w:val="18"/>
              </w:rPr>
              <w:t xml:space="preserve"> completed</w:t>
            </w:r>
            <w:r w:rsidRPr="003040DC">
              <w:rPr>
                <w:rFonts w:cs="Arial"/>
                <w:sz w:val="18"/>
                <w:szCs w:val="18"/>
              </w:rPr>
              <w:t xml:space="preserve"> </w:t>
            </w:r>
          </w:p>
        </w:tc>
        <w:tc>
          <w:tcPr>
            <w:tcW w:w="5258" w:type="dxa"/>
            <w:shd w:val="clear" w:color="auto" w:fill="FFFFFF" w:themeFill="background1"/>
            <w:vAlign w:val="center"/>
          </w:tcPr>
          <w:p w14:paraId="3E487D2D" w14:textId="77777777" w:rsidR="00100482" w:rsidRPr="003040DC" w:rsidRDefault="00100482" w:rsidP="00726072">
            <w:pPr>
              <w:rPr>
                <w:rFonts w:cs="Arial"/>
                <w:color w:val="1F497D"/>
                <w:sz w:val="18"/>
                <w:szCs w:val="18"/>
              </w:rPr>
            </w:pPr>
            <w:r>
              <w:rPr>
                <w:rFonts w:cs="Arial"/>
                <w:sz w:val="18"/>
                <w:szCs w:val="18"/>
              </w:rPr>
              <w:t xml:space="preserve">Publication </w:t>
            </w:r>
            <w:r w:rsidRPr="003040DC">
              <w:rPr>
                <w:rFonts w:cs="Arial"/>
                <w:sz w:val="18"/>
                <w:szCs w:val="18"/>
              </w:rPr>
              <w:t xml:space="preserve">of a screening study which investigated levels of 30 food packaging chemicals in the Australian food supply. See: </w:t>
            </w:r>
            <w:hyperlink r:id="rId38" w:history="1">
              <w:r w:rsidRPr="003040DC">
                <w:rPr>
                  <w:rFonts w:cs="Arial"/>
                  <w:color w:val="0000FF"/>
                  <w:sz w:val="18"/>
                  <w:szCs w:val="18"/>
                  <w:u w:val="single"/>
                </w:rPr>
                <w:t>24</w:t>
              </w:r>
              <w:r w:rsidRPr="003040DC">
                <w:rPr>
                  <w:rFonts w:cs="Arial"/>
                  <w:color w:val="0000FF"/>
                  <w:sz w:val="18"/>
                  <w:szCs w:val="18"/>
                  <w:u w:val="single"/>
                  <w:vertAlign w:val="superscript"/>
                </w:rPr>
                <w:t>th</w:t>
              </w:r>
              <w:r w:rsidRPr="003040DC">
                <w:rPr>
                  <w:rFonts w:cs="Arial"/>
                  <w:color w:val="0000FF"/>
                  <w:sz w:val="18"/>
                  <w:szCs w:val="18"/>
                  <w:u w:val="single"/>
                </w:rPr>
                <w:t xml:space="preserve"> Australian Total Diet Study – Phase 2</w:t>
              </w:r>
            </w:hyperlink>
          </w:p>
        </w:tc>
        <w:tc>
          <w:tcPr>
            <w:tcW w:w="1178" w:type="dxa"/>
            <w:shd w:val="clear" w:color="auto" w:fill="FFFFFF" w:themeFill="background1"/>
            <w:vAlign w:val="center"/>
          </w:tcPr>
          <w:p w14:paraId="7DF709BA" w14:textId="77777777" w:rsidR="00100482" w:rsidRPr="003040DC" w:rsidRDefault="00100482" w:rsidP="00726072">
            <w:pPr>
              <w:rPr>
                <w:rFonts w:cs="Arial"/>
                <w:sz w:val="18"/>
                <w:szCs w:val="18"/>
              </w:rPr>
            </w:pPr>
            <w:r w:rsidRPr="003040DC">
              <w:rPr>
                <w:rFonts w:cs="Arial"/>
                <w:sz w:val="18"/>
                <w:szCs w:val="18"/>
              </w:rPr>
              <w:t>Jan 2016</w:t>
            </w:r>
          </w:p>
        </w:tc>
      </w:tr>
      <w:tr w:rsidR="00100482" w:rsidRPr="003040DC" w14:paraId="1C1119DB" w14:textId="77777777" w:rsidTr="00217EEC">
        <w:trPr>
          <w:trHeight w:val="680"/>
        </w:trPr>
        <w:tc>
          <w:tcPr>
            <w:tcW w:w="2886" w:type="dxa"/>
            <w:shd w:val="clear" w:color="auto" w:fill="FFFFFF" w:themeFill="background1"/>
            <w:vAlign w:val="center"/>
          </w:tcPr>
          <w:p w14:paraId="06D0131A" w14:textId="77777777" w:rsidR="00100482" w:rsidRPr="00026F73" w:rsidRDefault="00100482" w:rsidP="00726072">
            <w:pPr>
              <w:rPr>
                <w:rFonts w:cs="Arial"/>
                <w:sz w:val="18"/>
                <w:szCs w:val="18"/>
              </w:rPr>
            </w:pPr>
            <w:r>
              <w:rPr>
                <w:rFonts w:cs="Arial"/>
                <w:sz w:val="18"/>
                <w:szCs w:val="18"/>
              </w:rPr>
              <w:t xml:space="preserve">Dietary Exposure Assessment </w:t>
            </w:r>
          </w:p>
        </w:tc>
        <w:tc>
          <w:tcPr>
            <w:tcW w:w="5258" w:type="dxa"/>
            <w:shd w:val="clear" w:color="auto" w:fill="FFFFFF" w:themeFill="background1"/>
            <w:vAlign w:val="center"/>
          </w:tcPr>
          <w:p w14:paraId="777978A6" w14:textId="23D88A96" w:rsidR="00100482" w:rsidRPr="00E33B7F" w:rsidRDefault="00100482" w:rsidP="00726072">
            <w:pPr>
              <w:rPr>
                <w:rFonts w:cs="Arial"/>
                <w:sz w:val="18"/>
                <w:szCs w:val="18"/>
              </w:rPr>
            </w:pPr>
            <w:r w:rsidRPr="00E33B7F">
              <w:rPr>
                <w:rFonts w:cs="Arial"/>
                <w:sz w:val="18"/>
                <w:szCs w:val="18"/>
              </w:rPr>
              <w:t>Dietary exposure assessment</w:t>
            </w:r>
            <w:r>
              <w:rPr>
                <w:rFonts w:cs="Arial"/>
                <w:sz w:val="18"/>
                <w:szCs w:val="18"/>
              </w:rPr>
              <w:t xml:space="preserve"> conducted </w:t>
            </w:r>
            <w:r w:rsidRPr="00E33B7F">
              <w:rPr>
                <w:rFonts w:cs="Arial"/>
                <w:sz w:val="18"/>
                <w:szCs w:val="18"/>
              </w:rPr>
              <w:t xml:space="preserve">for phthalates in </w:t>
            </w:r>
            <w:r w:rsidR="001060E4">
              <w:rPr>
                <w:rFonts w:cs="Arial"/>
                <w:sz w:val="18"/>
                <w:szCs w:val="18"/>
              </w:rPr>
              <w:t xml:space="preserve">the </w:t>
            </w:r>
            <w:r w:rsidRPr="00E33B7F">
              <w:rPr>
                <w:rFonts w:cs="Arial"/>
                <w:sz w:val="18"/>
                <w:szCs w:val="18"/>
              </w:rPr>
              <w:t xml:space="preserve">Australian population </w:t>
            </w:r>
          </w:p>
        </w:tc>
        <w:tc>
          <w:tcPr>
            <w:tcW w:w="1178" w:type="dxa"/>
            <w:shd w:val="clear" w:color="auto" w:fill="FFFFFF" w:themeFill="background1"/>
            <w:vAlign w:val="center"/>
          </w:tcPr>
          <w:p w14:paraId="0A167EF4" w14:textId="77777777" w:rsidR="00100482" w:rsidRPr="003040DC" w:rsidRDefault="00100482" w:rsidP="00726072">
            <w:pPr>
              <w:rPr>
                <w:rFonts w:cs="Arial"/>
                <w:sz w:val="18"/>
                <w:szCs w:val="18"/>
              </w:rPr>
            </w:pPr>
            <w:r w:rsidRPr="00E33B7F">
              <w:rPr>
                <w:rFonts w:cs="Arial"/>
                <w:sz w:val="18"/>
                <w:szCs w:val="18"/>
              </w:rPr>
              <w:t>Dec 2016</w:t>
            </w:r>
          </w:p>
        </w:tc>
      </w:tr>
      <w:tr w:rsidR="00100482" w:rsidRPr="003040DC" w14:paraId="78004EAD" w14:textId="77777777" w:rsidTr="00217EEC">
        <w:trPr>
          <w:trHeight w:val="680"/>
        </w:trPr>
        <w:tc>
          <w:tcPr>
            <w:tcW w:w="2886" w:type="dxa"/>
            <w:shd w:val="clear" w:color="auto" w:fill="FFFFFF" w:themeFill="background1"/>
            <w:vAlign w:val="center"/>
          </w:tcPr>
          <w:p w14:paraId="57199769" w14:textId="4047B5B6" w:rsidR="00100482" w:rsidRPr="003040DC" w:rsidRDefault="00800373" w:rsidP="00D248B6">
            <w:pPr>
              <w:rPr>
                <w:rFonts w:cs="Arial"/>
                <w:sz w:val="18"/>
                <w:szCs w:val="18"/>
              </w:rPr>
            </w:pPr>
            <w:r>
              <w:rPr>
                <w:rFonts w:cs="Arial"/>
                <w:sz w:val="18"/>
                <w:szCs w:val="18"/>
              </w:rPr>
              <w:t xml:space="preserve">1st </w:t>
            </w:r>
            <w:r w:rsidR="00100482" w:rsidRPr="003040DC">
              <w:rPr>
                <w:rFonts w:cs="Arial"/>
                <w:sz w:val="18"/>
                <w:szCs w:val="18"/>
              </w:rPr>
              <w:t xml:space="preserve">Call for Submissions </w:t>
            </w:r>
            <w:r w:rsidR="00100482">
              <w:rPr>
                <w:rFonts w:cs="Arial"/>
                <w:sz w:val="18"/>
                <w:szCs w:val="18"/>
              </w:rPr>
              <w:t>issued</w:t>
            </w:r>
          </w:p>
        </w:tc>
        <w:tc>
          <w:tcPr>
            <w:tcW w:w="5258" w:type="dxa"/>
            <w:shd w:val="clear" w:color="auto" w:fill="FFFFFF" w:themeFill="background1"/>
            <w:vAlign w:val="center"/>
          </w:tcPr>
          <w:p w14:paraId="0BD28179" w14:textId="4973B6AC" w:rsidR="00100482" w:rsidRPr="003040DC" w:rsidRDefault="007200EC" w:rsidP="00333386">
            <w:pPr>
              <w:rPr>
                <w:rFonts w:cs="Arial"/>
                <w:sz w:val="18"/>
                <w:szCs w:val="18"/>
              </w:rPr>
            </w:pPr>
            <w:r>
              <w:rPr>
                <w:rFonts w:cs="Arial"/>
                <w:sz w:val="18"/>
                <w:szCs w:val="18"/>
              </w:rPr>
              <w:t>P</w:t>
            </w:r>
            <w:r w:rsidR="00100482" w:rsidRPr="003040DC">
              <w:rPr>
                <w:rFonts w:cs="Arial"/>
                <w:sz w:val="18"/>
                <w:szCs w:val="18"/>
              </w:rPr>
              <w:t xml:space="preserve">ublic consultation </w:t>
            </w:r>
            <w:r>
              <w:rPr>
                <w:rFonts w:cs="Arial"/>
                <w:sz w:val="18"/>
                <w:szCs w:val="18"/>
              </w:rPr>
              <w:t xml:space="preserve">paper that reported assessment results and proposed risk management options. </w:t>
            </w:r>
            <w:r w:rsidR="00333386">
              <w:rPr>
                <w:rFonts w:cs="Arial"/>
                <w:sz w:val="18"/>
                <w:szCs w:val="18"/>
              </w:rPr>
              <w:t>Most s</w:t>
            </w:r>
            <w:r w:rsidR="00F56462">
              <w:rPr>
                <w:rFonts w:cs="Arial"/>
                <w:sz w:val="18"/>
                <w:szCs w:val="18"/>
              </w:rPr>
              <w:t>ubmitters supported the</w:t>
            </w:r>
            <w:r w:rsidR="00100482" w:rsidRPr="003040DC">
              <w:rPr>
                <w:rFonts w:cs="Arial"/>
                <w:sz w:val="18"/>
                <w:szCs w:val="18"/>
              </w:rPr>
              <w:t xml:space="preserve"> graduated risk management approach and </w:t>
            </w:r>
            <w:r w:rsidR="00F56462">
              <w:rPr>
                <w:rFonts w:cs="Arial"/>
                <w:sz w:val="18"/>
                <w:szCs w:val="18"/>
              </w:rPr>
              <w:t xml:space="preserve">the </w:t>
            </w:r>
            <w:r w:rsidR="00100482" w:rsidRPr="003040DC">
              <w:rPr>
                <w:rFonts w:cs="Arial"/>
                <w:sz w:val="18"/>
                <w:szCs w:val="18"/>
              </w:rPr>
              <w:t>proposed development of packaging information guide</w:t>
            </w:r>
            <w:r>
              <w:rPr>
                <w:rFonts w:cs="Arial"/>
                <w:sz w:val="18"/>
                <w:szCs w:val="18"/>
              </w:rPr>
              <w:t>.</w:t>
            </w:r>
          </w:p>
        </w:tc>
        <w:tc>
          <w:tcPr>
            <w:tcW w:w="1178" w:type="dxa"/>
            <w:shd w:val="clear" w:color="auto" w:fill="FFFFFF" w:themeFill="background1"/>
            <w:vAlign w:val="center"/>
          </w:tcPr>
          <w:p w14:paraId="25BDA8C5" w14:textId="77777777" w:rsidR="00100482" w:rsidRPr="003040DC" w:rsidRDefault="00100482" w:rsidP="00726072">
            <w:pPr>
              <w:rPr>
                <w:rFonts w:cs="Arial"/>
                <w:sz w:val="18"/>
                <w:szCs w:val="18"/>
              </w:rPr>
            </w:pPr>
            <w:r w:rsidRPr="003040DC">
              <w:rPr>
                <w:rFonts w:cs="Arial"/>
                <w:sz w:val="18"/>
                <w:szCs w:val="18"/>
              </w:rPr>
              <w:t>Jun 2016</w:t>
            </w:r>
          </w:p>
        </w:tc>
      </w:tr>
      <w:tr w:rsidR="00100482" w:rsidRPr="003040DC" w14:paraId="17EDF2D7" w14:textId="77777777" w:rsidTr="00217EEC">
        <w:trPr>
          <w:trHeight w:val="680"/>
        </w:trPr>
        <w:tc>
          <w:tcPr>
            <w:tcW w:w="2886" w:type="dxa"/>
            <w:shd w:val="clear" w:color="auto" w:fill="FFFFFF" w:themeFill="background1"/>
            <w:vAlign w:val="center"/>
          </w:tcPr>
          <w:p w14:paraId="3ED73D22" w14:textId="77777777" w:rsidR="00100482" w:rsidRPr="00014283" w:rsidRDefault="00100482" w:rsidP="00726072">
            <w:pPr>
              <w:rPr>
                <w:rFonts w:cs="Arial"/>
                <w:sz w:val="18"/>
                <w:szCs w:val="18"/>
              </w:rPr>
            </w:pPr>
            <w:r w:rsidRPr="00014283">
              <w:rPr>
                <w:rFonts w:cs="Arial"/>
                <w:sz w:val="18"/>
                <w:szCs w:val="18"/>
              </w:rPr>
              <w:t>Analytical survey (FSANZ)</w:t>
            </w:r>
          </w:p>
        </w:tc>
        <w:tc>
          <w:tcPr>
            <w:tcW w:w="5258" w:type="dxa"/>
            <w:shd w:val="clear" w:color="auto" w:fill="FFFFFF" w:themeFill="background1"/>
            <w:vAlign w:val="center"/>
          </w:tcPr>
          <w:p w14:paraId="6251059C" w14:textId="77777777" w:rsidR="00100482" w:rsidRPr="00014283" w:rsidRDefault="00100482" w:rsidP="00726072">
            <w:pPr>
              <w:rPr>
                <w:rFonts w:cs="Arial"/>
                <w:sz w:val="18"/>
                <w:szCs w:val="18"/>
              </w:rPr>
            </w:pPr>
            <w:r w:rsidRPr="00014283">
              <w:rPr>
                <w:rFonts w:cs="Arial"/>
                <w:sz w:val="18"/>
                <w:szCs w:val="18"/>
              </w:rPr>
              <w:t>Sampling and lab analysis of phthalates in foods  - follow-up survey to 24</w:t>
            </w:r>
            <w:r w:rsidRPr="00014283">
              <w:rPr>
                <w:rFonts w:cs="Arial"/>
                <w:sz w:val="18"/>
                <w:szCs w:val="18"/>
                <w:vertAlign w:val="superscript"/>
              </w:rPr>
              <w:t>th</w:t>
            </w:r>
            <w:r w:rsidRPr="00014283">
              <w:rPr>
                <w:rFonts w:cs="Arial"/>
                <w:sz w:val="18"/>
                <w:szCs w:val="18"/>
              </w:rPr>
              <w:t xml:space="preserve">  ATDS Phase II </w:t>
            </w:r>
          </w:p>
        </w:tc>
        <w:tc>
          <w:tcPr>
            <w:tcW w:w="1178" w:type="dxa"/>
            <w:shd w:val="clear" w:color="auto" w:fill="FFFFFF" w:themeFill="background1"/>
            <w:vAlign w:val="center"/>
          </w:tcPr>
          <w:p w14:paraId="59511DB8" w14:textId="77777777" w:rsidR="00100482" w:rsidRPr="00014283" w:rsidRDefault="00100482" w:rsidP="00726072">
            <w:pPr>
              <w:rPr>
                <w:rFonts w:cs="Arial"/>
                <w:sz w:val="18"/>
                <w:szCs w:val="18"/>
              </w:rPr>
            </w:pPr>
            <w:r w:rsidRPr="00014283">
              <w:rPr>
                <w:rFonts w:cs="Arial"/>
                <w:sz w:val="18"/>
                <w:szCs w:val="18"/>
              </w:rPr>
              <w:t>2016-2017</w:t>
            </w:r>
          </w:p>
        </w:tc>
      </w:tr>
      <w:tr w:rsidR="00217EEC" w:rsidRPr="003040DC" w14:paraId="60F3538C" w14:textId="77777777" w:rsidTr="00217EEC">
        <w:trPr>
          <w:trHeight w:val="680"/>
        </w:trPr>
        <w:tc>
          <w:tcPr>
            <w:tcW w:w="2886" w:type="dxa"/>
            <w:shd w:val="clear" w:color="auto" w:fill="FFFFFF" w:themeFill="background1"/>
            <w:vAlign w:val="center"/>
          </w:tcPr>
          <w:p w14:paraId="1E89D12A" w14:textId="77777777" w:rsidR="00100482" w:rsidRPr="00014283" w:rsidRDefault="00100482" w:rsidP="00726072">
            <w:pPr>
              <w:rPr>
                <w:rFonts w:cs="Arial"/>
                <w:sz w:val="18"/>
                <w:szCs w:val="18"/>
              </w:rPr>
            </w:pPr>
            <w:r w:rsidRPr="00014283">
              <w:rPr>
                <w:rFonts w:cs="Arial"/>
                <w:sz w:val="18"/>
                <w:szCs w:val="18"/>
              </w:rPr>
              <w:t>Analytical survey (FSANZ)</w:t>
            </w:r>
          </w:p>
        </w:tc>
        <w:tc>
          <w:tcPr>
            <w:tcW w:w="5258" w:type="dxa"/>
            <w:shd w:val="clear" w:color="auto" w:fill="FFFFFF" w:themeFill="background1"/>
            <w:vAlign w:val="center"/>
          </w:tcPr>
          <w:p w14:paraId="2829EE6F" w14:textId="77777777" w:rsidR="00100482" w:rsidRPr="00014283" w:rsidRDefault="00100482" w:rsidP="00726072">
            <w:pPr>
              <w:rPr>
                <w:rFonts w:cs="Arial"/>
                <w:sz w:val="18"/>
                <w:szCs w:val="18"/>
              </w:rPr>
            </w:pPr>
            <w:r w:rsidRPr="00014283">
              <w:rPr>
                <w:rFonts w:cs="Arial"/>
                <w:sz w:val="18"/>
                <w:szCs w:val="18"/>
              </w:rPr>
              <w:t xml:space="preserve">Sampling and lab analysis of mineral oil hydrocarbons (MOH) in paperboard packaging and foods </w:t>
            </w:r>
          </w:p>
        </w:tc>
        <w:tc>
          <w:tcPr>
            <w:tcW w:w="1178" w:type="dxa"/>
            <w:shd w:val="clear" w:color="auto" w:fill="FFFFFF" w:themeFill="background1"/>
            <w:vAlign w:val="center"/>
          </w:tcPr>
          <w:p w14:paraId="6BACD850" w14:textId="77777777" w:rsidR="00100482" w:rsidRPr="00014283" w:rsidRDefault="00100482" w:rsidP="00726072">
            <w:pPr>
              <w:rPr>
                <w:rFonts w:cs="Arial"/>
                <w:sz w:val="18"/>
                <w:szCs w:val="18"/>
              </w:rPr>
            </w:pPr>
            <w:r w:rsidRPr="00014283">
              <w:rPr>
                <w:rFonts w:cs="Arial"/>
                <w:sz w:val="18"/>
                <w:szCs w:val="18"/>
              </w:rPr>
              <w:t>2016-2017</w:t>
            </w:r>
          </w:p>
        </w:tc>
      </w:tr>
      <w:tr w:rsidR="00100482" w:rsidRPr="003040DC" w14:paraId="4257235E" w14:textId="77777777" w:rsidTr="00217EEC">
        <w:trPr>
          <w:trHeight w:val="680"/>
        </w:trPr>
        <w:tc>
          <w:tcPr>
            <w:tcW w:w="2886" w:type="dxa"/>
            <w:shd w:val="clear" w:color="auto" w:fill="FFFFFF" w:themeFill="background1"/>
            <w:vAlign w:val="center"/>
          </w:tcPr>
          <w:p w14:paraId="71D8FDA5" w14:textId="0ADDA2BD" w:rsidR="00100482" w:rsidRPr="003040DC" w:rsidRDefault="00100482" w:rsidP="00726072">
            <w:pPr>
              <w:rPr>
                <w:rFonts w:cs="Arial"/>
                <w:sz w:val="18"/>
                <w:szCs w:val="18"/>
              </w:rPr>
            </w:pPr>
            <w:r w:rsidRPr="003040DC">
              <w:rPr>
                <w:rFonts w:cs="Arial"/>
                <w:sz w:val="18"/>
                <w:szCs w:val="18"/>
              </w:rPr>
              <w:t xml:space="preserve">PAG meeting </w:t>
            </w:r>
            <w:r w:rsidR="004F6E82">
              <w:rPr>
                <w:rFonts w:cs="Arial"/>
                <w:sz w:val="18"/>
                <w:szCs w:val="18"/>
              </w:rPr>
              <w:t>#5</w:t>
            </w:r>
          </w:p>
        </w:tc>
        <w:tc>
          <w:tcPr>
            <w:tcW w:w="5258" w:type="dxa"/>
            <w:shd w:val="clear" w:color="auto" w:fill="FFFFFF" w:themeFill="background1"/>
            <w:vAlign w:val="center"/>
          </w:tcPr>
          <w:p w14:paraId="2C879057" w14:textId="77777777" w:rsidR="00100482" w:rsidRPr="003040DC" w:rsidRDefault="00100482" w:rsidP="00726072">
            <w:pPr>
              <w:rPr>
                <w:rFonts w:cs="Arial"/>
                <w:sz w:val="18"/>
                <w:szCs w:val="18"/>
              </w:rPr>
            </w:pPr>
            <w:r>
              <w:rPr>
                <w:rFonts w:cs="Arial"/>
                <w:sz w:val="18"/>
                <w:szCs w:val="18"/>
              </w:rPr>
              <w:t>Results from analytical surveys and exposure assessments were reported; input sought on the d</w:t>
            </w:r>
            <w:r w:rsidRPr="003040DC">
              <w:rPr>
                <w:rFonts w:cs="Arial"/>
                <w:sz w:val="18"/>
                <w:szCs w:val="18"/>
              </w:rPr>
              <w:t xml:space="preserve">raft </w:t>
            </w:r>
            <w:r>
              <w:rPr>
                <w:rFonts w:cs="Arial"/>
                <w:sz w:val="18"/>
                <w:szCs w:val="18"/>
              </w:rPr>
              <w:t>food p</w:t>
            </w:r>
            <w:r w:rsidRPr="003040DC">
              <w:rPr>
                <w:rFonts w:cs="Arial"/>
                <w:sz w:val="18"/>
                <w:szCs w:val="18"/>
              </w:rPr>
              <w:t xml:space="preserve">ackaging </w:t>
            </w:r>
            <w:r>
              <w:rPr>
                <w:rFonts w:cs="Arial"/>
                <w:sz w:val="18"/>
                <w:szCs w:val="18"/>
              </w:rPr>
              <w:t>information guide and direction for completion of the proposal.</w:t>
            </w:r>
          </w:p>
        </w:tc>
        <w:tc>
          <w:tcPr>
            <w:tcW w:w="1178" w:type="dxa"/>
            <w:shd w:val="clear" w:color="auto" w:fill="FFFFFF" w:themeFill="background1"/>
            <w:vAlign w:val="center"/>
          </w:tcPr>
          <w:p w14:paraId="67B91492" w14:textId="77777777" w:rsidR="00100482" w:rsidRPr="003040DC" w:rsidRDefault="00100482" w:rsidP="00726072">
            <w:pPr>
              <w:rPr>
                <w:rFonts w:cs="Arial"/>
                <w:sz w:val="18"/>
                <w:szCs w:val="18"/>
              </w:rPr>
            </w:pPr>
            <w:r w:rsidRPr="003040DC">
              <w:rPr>
                <w:rFonts w:cs="Arial"/>
                <w:sz w:val="18"/>
                <w:szCs w:val="18"/>
              </w:rPr>
              <w:t>Jun 2017</w:t>
            </w:r>
          </w:p>
        </w:tc>
      </w:tr>
      <w:tr w:rsidR="00100482" w:rsidRPr="003040DC" w14:paraId="4A80A02A" w14:textId="77777777" w:rsidTr="00217EEC">
        <w:trPr>
          <w:trHeight w:val="680"/>
        </w:trPr>
        <w:tc>
          <w:tcPr>
            <w:tcW w:w="2886" w:type="dxa"/>
            <w:shd w:val="clear" w:color="auto" w:fill="FFFFFF" w:themeFill="background1"/>
            <w:vAlign w:val="center"/>
          </w:tcPr>
          <w:p w14:paraId="23F4B06E" w14:textId="77777777" w:rsidR="00100482" w:rsidRPr="009E1786" w:rsidRDefault="00100482" w:rsidP="00726072">
            <w:pPr>
              <w:rPr>
                <w:rFonts w:cs="Arial"/>
                <w:sz w:val="18"/>
                <w:szCs w:val="18"/>
              </w:rPr>
            </w:pPr>
            <w:r w:rsidRPr="009E1786">
              <w:rPr>
                <w:rFonts w:cs="Arial"/>
                <w:sz w:val="18"/>
                <w:szCs w:val="18"/>
              </w:rPr>
              <w:t>ISFR consultation</w:t>
            </w:r>
          </w:p>
        </w:tc>
        <w:tc>
          <w:tcPr>
            <w:tcW w:w="5258" w:type="dxa"/>
            <w:shd w:val="clear" w:color="auto" w:fill="FFFFFF" w:themeFill="background1"/>
            <w:vAlign w:val="center"/>
          </w:tcPr>
          <w:p w14:paraId="7D213949" w14:textId="77777777" w:rsidR="00100482" w:rsidRPr="009E1786" w:rsidRDefault="00100482" w:rsidP="00726072">
            <w:pPr>
              <w:rPr>
                <w:rFonts w:cs="Arial"/>
                <w:sz w:val="18"/>
                <w:szCs w:val="18"/>
              </w:rPr>
            </w:pPr>
            <w:r>
              <w:rPr>
                <w:rFonts w:cs="Arial"/>
                <w:sz w:val="18"/>
                <w:szCs w:val="18"/>
              </w:rPr>
              <w:t>FSANZ consulted with ISFR on status of P1034</w:t>
            </w:r>
            <w:r w:rsidRPr="009E1786">
              <w:rPr>
                <w:rFonts w:cs="Arial"/>
                <w:sz w:val="18"/>
                <w:szCs w:val="18"/>
              </w:rPr>
              <w:t xml:space="preserve"> and plans for </w:t>
            </w:r>
            <w:r>
              <w:rPr>
                <w:rFonts w:cs="Arial"/>
                <w:sz w:val="18"/>
                <w:szCs w:val="18"/>
              </w:rPr>
              <w:t xml:space="preserve">a food </w:t>
            </w:r>
            <w:r w:rsidRPr="009E1786">
              <w:rPr>
                <w:rFonts w:cs="Arial"/>
                <w:sz w:val="18"/>
                <w:szCs w:val="18"/>
              </w:rPr>
              <w:t xml:space="preserve">packaging information guide to be developed. </w:t>
            </w:r>
          </w:p>
        </w:tc>
        <w:tc>
          <w:tcPr>
            <w:tcW w:w="1178" w:type="dxa"/>
            <w:shd w:val="clear" w:color="auto" w:fill="FFFFFF" w:themeFill="background1"/>
            <w:vAlign w:val="center"/>
          </w:tcPr>
          <w:p w14:paraId="7E9F90BD" w14:textId="77777777" w:rsidR="00100482" w:rsidRPr="009E1786" w:rsidRDefault="00100482" w:rsidP="00726072">
            <w:pPr>
              <w:rPr>
                <w:rFonts w:cs="Arial"/>
                <w:sz w:val="18"/>
                <w:szCs w:val="18"/>
              </w:rPr>
            </w:pPr>
            <w:r w:rsidRPr="009E1786">
              <w:rPr>
                <w:rFonts w:cs="Arial"/>
                <w:sz w:val="18"/>
                <w:szCs w:val="18"/>
              </w:rPr>
              <w:t>Aug 2017</w:t>
            </w:r>
          </w:p>
        </w:tc>
      </w:tr>
      <w:tr w:rsidR="00100482" w:rsidRPr="003040DC" w14:paraId="4BAE370B" w14:textId="77777777" w:rsidTr="00217EEC">
        <w:trPr>
          <w:trHeight w:val="680"/>
        </w:trPr>
        <w:tc>
          <w:tcPr>
            <w:tcW w:w="2886" w:type="dxa"/>
            <w:shd w:val="clear" w:color="auto" w:fill="FFFFFF" w:themeFill="background1"/>
            <w:vAlign w:val="center"/>
          </w:tcPr>
          <w:p w14:paraId="438D4EB0" w14:textId="77777777" w:rsidR="00100482" w:rsidRPr="003040DC" w:rsidRDefault="00100482" w:rsidP="00726072">
            <w:pPr>
              <w:rPr>
                <w:rFonts w:cs="Arial"/>
                <w:sz w:val="18"/>
                <w:szCs w:val="18"/>
              </w:rPr>
            </w:pPr>
            <w:r w:rsidRPr="009E1786">
              <w:rPr>
                <w:rFonts w:cs="Arial"/>
                <w:sz w:val="18"/>
                <w:szCs w:val="18"/>
              </w:rPr>
              <w:t>Update to FSANZ Board</w:t>
            </w:r>
          </w:p>
        </w:tc>
        <w:tc>
          <w:tcPr>
            <w:tcW w:w="5258" w:type="dxa"/>
            <w:shd w:val="clear" w:color="auto" w:fill="FFFFFF" w:themeFill="background1"/>
            <w:vAlign w:val="center"/>
          </w:tcPr>
          <w:p w14:paraId="1F109134" w14:textId="77777777" w:rsidR="00100482" w:rsidRDefault="00100482" w:rsidP="00726072">
            <w:pPr>
              <w:rPr>
                <w:rFonts w:cs="Arial"/>
                <w:sz w:val="18"/>
                <w:szCs w:val="18"/>
              </w:rPr>
            </w:pPr>
            <w:r w:rsidRPr="003873B0">
              <w:rPr>
                <w:rFonts w:cs="Arial"/>
                <w:sz w:val="18"/>
                <w:szCs w:val="18"/>
              </w:rPr>
              <w:t xml:space="preserve">Presented summary of P1034 work and plans to finalise the proposal through </w:t>
            </w:r>
            <w:r>
              <w:rPr>
                <w:rFonts w:cs="Arial"/>
                <w:sz w:val="18"/>
                <w:szCs w:val="18"/>
              </w:rPr>
              <w:t xml:space="preserve">abandonment </w:t>
            </w:r>
          </w:p>
        </w:tc>
        <w:tc>
          <w:tcPr>
            <w:tcW w:w="1178" w:type="dxa"/>
            <w:shd w:val="clear" w:color="auto" w:fill="FFFFFF" w:themeFill="background1"/>
            <w:vAlign w:val="center"/>
          </w:tcPr>
          <w:p w14:paraId="599F3482" w14:textId="77777777" w:rsidR="00100482" w:rsidRPr="003040DC" w:rsidRDefault="00100482" w:rsidP="00726072">
            <w:pPr>
              <w:rPr>
                <w:rFonts w:cs="Arial"/>
                <w:sz w:val="18"/>
                <w:szCs w:val="18"/>
              </w:rPr>
            </w:pPr>
            <w:r w:rsidRPr="00026F73">
              <w:rPr>
                <w:rFonts w:cs="Arial"/>
                <w:sz w:val="18"/>
                <w:szCs w:val="18"/>
              </w:rPr>
              <w:t>Sep 2017</w:t>
            </w:r>
          </w:p>
        </w:tc>
      </w:tr>
    </w:tbl>
    <w:p w14:paraId="19979995" w14:textId="1D631A8A" w:rsidR="00D248B6" w:rsidRPr="00D248B6" w:rsidRDefault="00D248B6" w:rsidP="00D248B6">
      <w:pPr>
        <w:rPr>
          <w:sz w:val="20"/>
          <w:szCs w:val="20"/>
          <w:lang w:val="en-AU"/>
        </w:rPr>
      </w:pPr>
      <w:r w:rsidRPr="00D248B6">
        <w:rPr>
          <w:sz w:val="20"/>
          <w:szCs w:val="20"/>
        </w:rPr>
        <w:t>Abbreviations: NZ MPI (New Zealand Ministry of Primary Industry); BPA (bisphenol A); MOH (mineral oil hydrocarbon); ESBO (</w:t>
      </w:r>
      <w:r w:rsidRPr="00D248B6">
        <w:rPr>
          <w:sz w:val="20"/>
          <w:szCs w:val="20"/>
          <w:lang w:val="en-AU"/>
        </w:rPr>
        <w:t>epoxidized soybean oil); TTC</w:t>
      </w:r>
      <w:r w:rsidRPr="00D248B6" w:rsidDel="00333386">
        <w:rPr>
          <w:sz w:val="20"/>
          <w:szCs w:val="20"/>
          <w:lang w:val="en-AU"/>
        </w:rPr>
        <w:t xml:space="preserve"> </w:t>
      </w:r>
      <w:r w:rsidRPr="00D248B6">
        <w:rPr>
          <w:sz w:val="20"/>
          <w:szCs w:val="20"/>
          <w:lang w:val="en-AU"/>
        </w:rPr>
        <w:t>(threshold of toxicological concern); ATDS (Australian Total Diet Study); ISFR (Implementation Subcommittee for Food Regulation).</w:t>
      </w:r>
    </w:p>
    <w:p w14:paraId="36DB8806" w14:textId="77777777" w:rsidR="00100482" w:rsidRPr="003A01FB" w:rsidRDefault="00100482" w:rsidP="00100482"/>
    <w:sectPr w:rsidR="00100482" w:rsidRPr="003A01FB" w:rsidSect="002C6A76">
      <w:pgSz w:w="11906" w:h="16838" w:code="9"/>
      <w:pgMar w:top="1418" w:right="1418" w:bottom="1418" w:left="1418" w:header="709" w:footer="709"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C61BED" w15:done="0"/>
  <w15:commentEx w15:paraId="05BD479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696485" w14:textId="77777777" w:rsidR="00F53D8E" w:rsidRDefault="00F53D8E">
      <w:r>
        <w:separator/>
      </w:r>
    </w:p>
  </w:endnote>
  <w:endnote w:type="continuationSeparator" w:id="0">
    <w:p w14:paraId="510B1305" w14:textId="77777777" w:rsidR="00F53D8E" w:rsidRDefault="00F53D8E">
      <w:r>
        <w:continuationSeparator/>
      </w:r>
    </w:p>
  </w:endnote>
  <w:endnote w:type="continuationNotice" w:id="1">
    <w:p w14:paraId="719946C6" w14:textId="77777777" w:rsidR="00F53D8E" w:rsidRDefault="00F53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1C0D2E" w14:textId="77777777" w:rsidR="00F53D8E" w:rsidRDefault="00F53D8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325FB9" w14:textId="77777777" w:rsidR="00F53D8E" w:rsidRDefault="00F53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2FA5A" w14:textId="4DA8497B" w:rsidR="00F53D8E" w:rsidRDefault="00F53D8E"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7F3E">
      <w:rPr>
        <w:rStyle w:val="PageNumber"/>
        <w:noProof/>
      </w:rPr>
      <w:t>i</w:t>
    </w:r>
    <w:r>
      <w:rPr>
        <w:rStyle w:val="PageNumber"/>
      </w:rPr>
      <w:fldChar w:fldCharType="end"/>
    </w:r>
  </w:p>
  <w:p w14:paraId="47FB18E0" w14:textId="77777777" w:rsidR="00F53D8E" w:rsidRDefault="00F53D8E">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535B5" w14:textId="77777777" w:rsidR="00947F3E" w:rsidRDefault="00947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DC796" w14:textId="77777777" w:rsidR="00F53D8E" w:rsidRDefault="00F53D8E">
      <w:r>
        <w:separator/>
      </w:r>
    </w:p>
  </w:footnote>
  <w:footnote w:type="continuationSeparator" w:id="0">
    <w:p w14:paraId="3CFA26E8" w14:textId="77777777" w:rsidR="00F53D8E" w:rsidRDefault="00F53D8E">
      <w:r>
        <w:continuationSeparator/>
      </w:r>
    </w:p>
  </w:footnote>
  <w:footnote w:type="continuationNotice" w:id="1">
    <w:p w14:paraId="74A0FA6E" w14:textId="77777777" w:rsidR="00F53D8E" w:rsidRDefault="00F53D8E"/>
  </w:footnote>
  <w:footnote w:id="2">
    <w:p w14:paraId="59F8C6BF" w14:textId="77777777" w:rsidR="00F53D8E" w:rsidRPr="00F834A3" w:rsidRDefault="00F53D8E" w:rsidP="001D711A">
      <w:pPr>
        <w:pStyle w:val="FootnoteText"/>
        <w:rPr>
          <w:color w:val="00B0F0"/>
          <w:szCs w:val="18"/>
          <w:lang w:val="en-AU"/>
        </w:rPr>
      </w:pPr>
      <w:r w:rsidRPr="00F50448">
        <w:rPr>
          <w:rStyle w:val="FootnoteReference"/>
          <w:szCs w:val="18"/>
        </w:rPr>
        <w:footnoteRef/>
      </w:r>
      <w:r w:rsidRPr="00F50448">
        <w:rPr>
          <w:szCs w:val="18"/>
        </w:rPr>
        <w:t xml:space="preserve"> </w:t>
      </w:r>
      <w:r w:rsidRPr="00F50448">
        <w:rPr>
          <w:szCs w:val="18"/>
          <w:lang w:val="en-AU"/>
        </w:rPr>
        <w:t xml:space="preserve">Refer to Submissions to the </w:t>
      </w:r>
      <w:hyperlink r:id="rId1" w:history="1">
        <w:r w:rsidRPr="000F7006">
          <w:rPr>
            <w:rStyle w:val="Hyperlink"/>
            <w:szCs w:val="18"/>
            <w:lang w:val="en-AU"/>
          </w:rPr>
          <w:t>1</w:t>
        </w:r>
        <w:r w:rsidRPr="000F7006">
          <w:rPr>
            <w:rStyle w:val="Hyperlink"/>
            <w:szCs w:val="18"/>
            <w:vertAlign w:val="superscript"/>
            <w:lang w:val="en-AU"/>
          </w:rPr>
          <w:t>st</w:t>
        </w:r>
        <w:r w:rsidRPr="000F7006">
          <w:rPr>
            <w:rStyle w:val="Hyperlink"/>
            <w:szCs w:val="18"/>
            <w:lang w:val="en-AU"/>
          </w:rPr>
          <w:t xml:space="preserve"> Call for Submission paper</w:t>
        </w:r>
      </w:hyperlink>
      <w:r>
        <w:rPr>
          <w:szCs w:val="18"/>
          <w:lang w:val="en-AU"/>
        </w:rPr>
        <w:t>, November 2014</w:t>
      </w:r>
      <w:r w:rsidRPr="00F50448">
        <w:rPr>
          <w:szCs w:val="18"/>
          <w:lang w:val="en-AU"/>
        </w:rPr>
        <w:t xml:space="preserve">: </w:t>
      </w:r>
    </w:p>
  </w:footnote>
  <w:footnote w:id="3">
    <w:p w14:paraId="457BD34D" w14:textId="77777777" w:rsidR="00F53D8E" w:rsidRPr="00F834A3" w:rsidRDefault="00F53D8E" w:rsidP="00FC32E3">
      <w:pPr>
        <w:pStyle w:val="FootnoteText"/>
        <w:rPr>
          <w:color w:val="00B0F0"/>
          <w:sz w:val="16"/>
          <w:szCs w:val="16"/>
        </w:rPr>
      </w:pPr>
      <w:r>
        <w:rPr>
          <w:rStyle w:val="FootnoteReference"/>
        </w:rPr>
        <w:footnoteRef/>
      </w:r>
      <w:r>
        <w:t xml:space="preserve"> </w:t>
      </w:r>
      <w:hyperlink r:id="rId2" w:history="1">
        <w:r w:rsidRPr="00F834A3">
          <w:rPr>
            <w:rStyle w:val="Hyperlink"/>
            <w:color w:val="00B0F0"/>
            <w:sz w:val="16"/>
            <w:szCs w:val="16"/>
          </w:rPr>
          <w:t>http://www.foodstandards.gov.au/code/proposals/Pages/P1034ChemicalMigrationfromPackagingintoFood.aspx</w:t>
        </w:r>
      </w:hyperlink>
    </w:p>
    <w:p w14:paraId="3A65FF6C" w14:textId="77777777" w:rsidR="00F53D8E" w:rsidRPr="00F834A3" w:rsidRDefault="00F53D8E" w:rsidP="00FC32E3">
      <w:pPr>
        <w:pStyle w:val="FootnoteText"/>
        <w:rPr>
          <w:color w:val="00B0F0"/>
          <w:sz w:val="16"/>
          <w:szCs w:val="16"/>
          <w:lang w:val="en-AU"/>
        </w:rPr>
      </w:pPr>
    </w:p>
  </w:footnote>
  <w:footnote w:id="4">
    <w:p w14:paraId="7A0DDCC1" w14:textId="5D208172" w:rsidR="00F53D8E" w:rsidRPr="00E649C6" w:rsidRDefault="00F53D8E">
      <w:pPr>
        <w:pStyle w:val="FootnoteText"/>
        <w:rPr>
          <w:b/>
          <w:lang w:val="en-AU"/>
        </w:rPr>
      </w:pPr>
      <w:r>
        <w:rPr>
          <w:rStyle w:val="FootnoteReference"/>
        </w:rPr>
        <w:footnoteRef/>
      </w:r>
      <w:r>
        <w:t xml:space="preserve"> </w:t>
      </w:r>
      <w:r>
        <w:rPr>
          <w:lang w:val="en-NZ" w:eastAsia="en-GB" w:bidi="ar-SA"/>
        </w:rPr>
        <w:t>The TDI is an estimate of the amount of a substance in food that can be ingested daily over a lifetime without appreciable health risk.</w:t>
      </w:r>
    </w:p>
  </w:footnote>
  <w:footnote w:id="5">
    <w:p w14:paraId="06AB25FD" w14:textId="0460CF3B" w:rsidR="00F53D8E" w:rsidRPr="0039485D" w:rsidRDefault="00F53D8E" w:rsidP="0039485D">
      <w:pPr>
        <w:pStyle w:val="FootnoteText"/>
        <w:rPr>
          <w:sz w:val="18"/>
          <w:szCs w:val="18"/>
        </w:rPr>
      </w:pPr>
      <w:r w:rsidRPr="0039485D">
        <w:rPr>
          <w:rStyle w:val="FootnoteReference"/>
          <w:sz w:val="18"/>
          <w:szCs w:val="18"/>
        </w:rPr>
        <w:footnoteRef/>
      </w:r>
      <w:hyperlink r:id="rId3" w:history="1">
        <w:r w:rsidRPr="0039485D">
          <w:rPr>
            <w:rStyle w:val="Hyperlink"/>
            <w:sz w:val="18"/>
            <w:szCs w:val="18"/>
          </w:rPr>
          <w:t>http://www.eupia.org/index.php?id=31&amp;tx_edm_pi1%5BshowUid%5D=21&amp;cHash=6495d86ce2d7a8022a1802b356c4fd2a</w:t>
        </w:r>
      </w:hyperlink>
    </w:p>
    <w:p w14:paraId="1E8B15D7" w14:textId="77777777" w:rsidR="00F53D8E" w:rsidRPr="0039485D" w:rsidRDefault="00F53D8E" w:rsidP="0039485D">
      <w:pPr>
        <w:pStyle w:val="FootnoteText"/>
        <w:rPr>
          <w:lang w:val="en-AU"/>
        </w:rPr>
      </w:pPr>
    </w:p>
  </w:footnote>
  <w:footnote w:id="6">
    <w:p w14:paraId="6E434F42" w14:textId="77777777" w:rsidR="00F53D8E" w:rsidRPr="00F834A3" w:rsidRDefault="00F53D8E" w:rsidP="00E8036C">
      <w:pPr>
        <w:rPr>
          <w:rStyle w:val="srch-url2"/>
          <w:rFonts w:cs="Arial"/>
          <w:color w:val="00B0F0"/>
          <w:sz w:val="18"/>
          <w:szCs w:val="18"/>
        </w:rPr>
      </w:pPr>
      <w:r w:rsidRPr="00B403F0">
        <w:rPr>
          <w:rStyle w:val="FootnoteReference"/>
          <w:rFonts w:cs="Arial"/>
          <w:sz w:val="18"/>
          <w:szCs w:val="18"/>
        </w:rPr>
        <w:footnoteRef/>
      </w:r>
      <w:r w:rsidRPr="00B403F0">
        <w:rPr>
          <w:rFonts w:cs="Arial"/>
          <w:sz w:val="18"/>
          <w:szCs w:val="18"/>
        </w:rPr>
        <w:t xml:space="preserve"> </w:t>
      </w:r>
      <w:hyperlink r:id="rId4" w:history="1">
        <w:r w:rsidRPr="00F834A3">
          <w:rPr>
            <w:rStyle w:val="Hyperlink"/>
            <w:rFonts w:cs="Arial"/>
            <w:color w:val="00B0F0"/>
            <w:sz w:val="18"/>
            <w:szCs w:val="18"/>
          </w:rPr>
          <w:t>http://www.foodstandards.gov.au/code/proposals/Documents/P1034 Packaging 1CFS.pdf</w:t>
        </w:r>
      </w:hyperlink>
    </w:p>
    <w:p w14:paraId="274494DC" w14:textId="77777777" w:rsidR="00F53D8E" w:rsidRPr="00B403F0" w:rsidRDefault="00F53D8E" w:rsidP="00E8036C">
      <w:pPr>
        <w:pStyle w:val="FootnoteText"/>
        <w:rPr>
          <w:lang w:val="en-AU"/>
        </w:rPr>
      </w:pPr>
    </w:p>
  </w:footnote>
  <w:footnote w:id="7">
    <w:p w14:paraId="361A344C" w14:textId="6E52AB8E" w:rsidR="00F53D8E" w:rsidRPr="00F834A3" w:rsidRDefault="00F53D8E" w:rsidP="00486F79">
      <w:pPr>
        <w:rPr>
          <w:color w:val="00B0F0"/>
          <w:sz w:val="18"/>
          <w:szCs w:val="18"/>
        </w:rPr>
      </w:pPr>
      <w:r>
        <w:rPr>
          <w:rStyle w:val="FootnoteReference"/>
        </w:rPr>
        <w:footnoteRef/>
      </w:r>
      <w:r>
        <w:t xml:space="preserve"> </w:t>
      </w:r>
      <w:hyperlink r:id="rId5" w:history="1">
        <w:r w:rsidRPr="00F834A3">
          <w:rPr>
            <w:rStyle w:val="Hyperlink"/>
            <w:color w:val="00B0F0"/>
            <w:sz w:val="18"/>
            <w:szCs w:val="18"/>
          </w:rPr>
          <w:t>http://www.foodstandards.gov.au/code/proposals/Documents/P1034 Packaging 1CFS.pdf</w:t>
        </w:r>
      </w:hyperlink>
    </w:p>
    <w:p w14:paraId="26550859" w14:textId="77777777" w:rsidR="00F53D8E" w:rsidRPr="00486F79" w:rsidRDefault="00F53D8E" w:rsidP="00486F79">
      <w:pPr>
        <w:rPr>
          <w:sz w:val="20"/>
          <w:szCs w:val="20"/>
        </w:rPr>
      </w:pPr>
    </w:p>
    <w:p w14:paraId="263D8A08" w14:textId="6C4594D6" w:rsidR="00F53D8E" w:rsidRPr="00486F79" w:rsidRDefault="00F53D8E">
      <w:pPr>
        <w:pStyle w:val="FootnoteText"/>
        <w:rPr>
          <w:lang w:val="en-AU"/>
        </w:rPr>
      </w:pPr>
    </w:p>
  </w:footnote>
  <w:footnote w:id="8">
    <w:p w14:paraId="2F5A9DC5" w14:textId="226DD8F7" w:rsidR="00F53D8E" w:rsidRPr="00F834A3" w:rsidRDefault="00F53D8E" w:rsidP="00503907">
      <w:pPr>
        <w:rPr>
          <w:color w:val="00B0F0"/>
          <w:sz w:val="18"/>
          <w:szCs w:val="18"/>
        </w:rPr>
      </w:pPr>
      <w:r w:rsidRPr="00F834A3">
        <w:rPr>
          <w:rStyle w:val="FootnoteReference"/>
          <w:color w:val="00B0F0"/>
        </w:rPr>
        <w:footnoteRef/>
      </w:r>
      <w:r w:rsidRPr="00F834A3">
        <w:rPr>
          <w:color w:val="00B0F0"/>
        </w:rPr>
        <w:t xml:space="preserve"> </w:t>
      </w:r>
      <w:hyperlink r:id="rId6" w:history="1">
        <w:r w:rsidRPr="00F834A3">
          <w:rPr>
            <w:rStyle w:val="Hyperlink"/>
            <w:color w:val="00B0F0"/>
            <w:sz w:val="18"/>
            <w:szCs w:val="18"/>
          </w:rPr>
          <w:t>http://www.foodstandards.gov.au/code/proposals/Pages/P1034ChemicalMigrationfromPackagingintoFood.aspx</w:t>
        </w:r>
      </w:hyperlink>
    </w:p>
    <w:p w14:paraId="42635F0A" w14:textId="77777777" w:rsidR="00F53D8E" w:rsidRPr="00503907" w:rsidRDefault="00F53D8E" w:rsidP="00503907">
      <w:pPr>
        <w:rPr>
          <w:sz w:val="20"/>
          <w:szCs w:val="20"/>
        </w:rPr>
      </w:pPr>
    </w:p>
    <w:p w14:paraId="63720262" w14:textId="487AB756" w:rsidR="00F53D8E" w:rsidRPr="00503907" w:rsidRDefault="00F53D8E">
      <w:pPr>
        <w:pStyle w:val="FootnoteText"/>
        <w:rPr>
          <w:lang w:val="en-AU"/>
        </w:rPr>
      </w:pPr>
    </w:p>
  </w:footnote>
  <w:footnote w:id="9">
    <w:p w14:paraId="1EFE2540" w14:textId="77777777" w:rsidR="00F53D8E" w:rsidRPr="00CF795F" w:rsidRDefault="00F53D8E" w:rsidP="00100482">
      <w:pPr>
        <w:pStyle w:val="FootnoteText"/>
        <w:rPr>
          <w:szCs w:val="18"/>
          <w:lang w:val="en-AU"/>
        </w:rPr>
      </w:pPr>
      <w:r>
        <w:rPr>
          <w:rStyle w:val="FootnoteReference"/>
        </w:rPr>
        <w:footnoteRef/>
      </w:r>
      <w:r>
        <w:t xml:space="preserve"> </w:t>
      </w:r>
      <w:r w:rsidRPr="00CF795F">
        <w:rPr>
          <w:szCs w:val="18"/>
        </w:rPr>
        <w:t xml:space="preserve">Preliminary work was preceded by proposal P205 </w:t>
      </w:r>
      <w:r w:rsidRPr="00CF795F">
        <w:rPr>
          <w:i/>
          <w:szCs w:val="18"/>
        </w:rPr>
        <w:t>Articles &amp; Materials In Contact With Food</w:t>
      </w:r>
      <w:r w:rsidRPr="00CF795F">
        <w:rPr>
          <w:szCs w:val="18"/>
        </w:rPr>
        <w:t xml:space="preserve"> which was undertaken by ANZFA as part of the</w:t>
      </w:r>
      <w:r w:rsidRPr="00CF795F">
        <w:rPr>
          <w:b/>
          <w:szCs w:val="18"/>
        </w:rPr>
        <w:t xml:space="preserve"> </w:t>
      </w:r>
      <w:r w:rsidRPr="00CF795F">
        <w:rPr>
          <w:szCs w:val="18"/>
        </w:rPr>
        <w:t xml:space="preserve">process of the review of the </w:t>
      </w:r>
      <w:r w:rsidRPr="00CF795F">
        <w:rPr>
          <w:i/>
          <w:szCs w:val="18"/>
        </w:rPr>
        <w:t xml:space="preserve">Food Standards Code </w:t>
      </w:r>
      <w:r w:rsidRPr="00CF795F">
        <w:rPr>
          <w:szCs w:val="18"/>
        </w:rPr>
        <w:t>in 1999-2000. This work is not included in the above chronology.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A1CC9" w14:textId="77777777" w:rsidR="00947F3E" w:rsidRDefault="00947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C7A95" w14:textId="518FA5B5" w:rsidR="00F53D8E" w:rsidRPr="00947F3E" w:rsidRDefault="00F53D8E" w:rsidP="00947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F124B" w14:textId="77777777" w:rsidR="00F53D8E" w:rsidRDefault="00F53D8E">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2D3D"/>
    <w:multiLevelType w:val="hybridMultilevel"/>
    <w:tmpl w:val="818C4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26054271"/>
    <w:multiLevelType w:val="hybridMultilevel"/>
    <w:tmpl w:val="496E6A34"/>
    <w:lvl w:ilvl="0" w:tplc="B0903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D2A6D8E"/>
    <w:multiLevelType w:val="hybridMultilevel"/>
    <w:tmpl w:val="5C083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213829"/>
    <w:multiLevelType w:val="hybridMultilevel"/>
    <w:tmpl w:val="7D2C6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649733F1"/>
    <w:multiLevelType w:val="hybridMultilevel"/>
    <w:tmpl w:val="A6023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BE5786A"/>
    <w:multiLevelType w:val="hybridMultilevel"/>
    <w:tmpl w:val="9904D62A"/>
    <w:lvl w:ilvl="0" w:tplc="45009DD4">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1A337B5"/>
    <w:multiLevelType w:val="hybridMultilevel"/>
    <w:tmpl w:val="C08438F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4"/>
  </w:num>
  <w:num w:numId="6">
    <w:abstractNumId w:val="7"/>
  </w:num>
  <w:num w:numId="7">
    <w:abstractNumId w:val="2"/>
  </w:num>
  <w:num w:numId="8">
    <w:abstractNumId w:val="0"/>
  </w:num>
  <w:num w:numId="9">
    <w:abstractNumId w:val="6"/>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09E0"/>
    <w:rsid w:val="00001DE9"/>
    <w:rsid w:val="0000247B"/>
    <w:rsid w:val="0000469B"/>
    <w:rsid w:val="00010E79"/>
    <w:rsid w:val="00012BD5"/>
    <w:rsid w:val="00014AF3"/>
    <w:rsid w:val="00023EE1"/>
    <w:rsid w:val="00030EEE"/>
    <w:rsid w:val="000325E7"/>
    <w:rsid w:val="00032A44"/>
    <w:rsid w:val="000336AD"/>
    <w:rsid w:val="000336E4"/>
    <w:rsid w:val="000352B2"/>
    <w:rsid w:val="00035FF3"/>
    <w:rsid w:val="000409F5"/>
    <w:rsid w:val="000418F0"/>
    <w:rsid w:val="00051021"/>
    <w:rsid w:val="000516DB"/>
    <w:rsid w:val="00051F59"/>
    <w:rsid w:val="000524F0"/>
    <w:rsid w:val="00052D54"/>
    <w:rsid w:val="00053D06"/>
    <w:rsid w:val="00057294"/>
    <w:rsid w:val="0006008C"/>
    <w:rsid w:val="00060579"/>
    <w:rsid w:val="00064B2D"/>
    <w:rsid w:val="00065F1F"/>
    <w:rsid w:val="000666C3"/>
    <w:rsid w:val="00067604"/>
    <w:rsid w:val="0007301E"/>
    <w:rsid w:val="000742A0"/>
    <w:rsid w:val="00076D33"/>
    <w:rsid w:val="00077654"/>
    <w:rsid w:val="0008090F"/>
    <w:rsid w:val="00081B0A"/>
    <w:rsid w:val="00082EBC"/>
    <w:rsid w:val="00086C8C"/>
    <w:rsid w:val="000912FF"/>
    <w:rsid w:val="00091CD6"/>
    <w:rsid w:val="000925EE"/>
    <w:rsid w:val="00097D88"/>
    <w:rsid w:val="000A0A8A"/>
    <w:rsid w:val="000A1A75"/>
    <w:rsid w:val="000A1CA3"/>
    <w:rsid w:val="000A3D8B"/>
    <w:rsid w:val="000B148B"/>
    <w:rsid w:val="000B2345"/>
    <w:rsid w:val="000B3C28"/>
    <w:rsid w:val="000B4B07"/>
    <w:rsid w:val="000B61F1"/>
    <w:rsid w:val="000B6AF2"/>
    <w:rsid w:val="000C102C"/>
    <w:rsid w:val="000C27F5"/>
    <w:rsid w:val="000C79F3"/>
    <w:rsid w:val="000D4AAA"/>
    <w:rsid w:val="000D6FD4"/>
    <w:rsid w:val="000E0AE4"/>
    <w:rsid w:val="000E3DBC"/>
    <w:rsid w:val="000E402A"/>
    <w:rsid w:val="000E496E"/>
    <w:rsid w:val="000E6A8D"/>
    <w:rsid w:val="000F2993"/>
    <w:rsid w:val="000F3AD9"/>
    <w:rsid w:val="000F3CFE"/>
    <w:rsid w:val="000F499D"/>
    <w:rsid w:val="000F56FA"/>
    <w:rsid w:val="000F7006"/>
    <w:rsid w:val="00100482"/>
    <w:rsid w:val="001044CF"/>
    <w:rsid w:val="001060E4"/>
    <w:rsid w:val="00111633"/>
    <w:rsid w:val="0012388D"/>
    <w:rsid w:val="00124EB6"/>
    <w:rsid w:val="001269B4"/>
    <w:rsid w:val="00133B20"/>
    <w:rsid w:val="001340DA"/>
    <w:rsid w:val="00137C6A"/>
    <w:rsid w:val="00144651"/>
    <w:rsid w:val="00152710"/>
    <w:rsid w:val="00161CF4"/>
    <w:rsid w:val="001740DC"/>
    <w:rsid w:val="00177D9E"/>
    <w:rsid w:val="00182862"/>
    <w:rsid w:val="00182C4C"/>
    <w:rsid w:val="001907B1"/>
    <w:rsid w:val="00191631"/>
    <w:rsid w:val="00191D8A"/>
    <w:rsid w:val="00195516"/>
    <w:rsid w:val="0019784E"/>
    <w:rsid w:val="0019798B"/>
    <w:rsid w:val="00197D8D"/>
    <w:rsid w:val="001A07CD"/>
    <w:rsid w:val="001A1242"/>
    <w:rsid w:val="001A1A75"/>
    <w:rsid w:val="001A4EDD"/>
    <w:rsid w:val="001A7E9A"/>
    <w:rsid w:val="001A7FAA"/>
    <w:rsid w:val="001B0FF9"/>
    <w:rsid w:val="001C1B55"/>
    <w:rsid w:val="001C27A3"/>
    <w:rsid w:val="001D0564"/>
    <w:rsid w:val="001D06B9"/>
    <w:rsid w:val="001D1700"/>
    <w:rsid w:val="001D2B7D"/>
    <w:rsid w:val="001D4CE5"/>
    <w:rsid w:val="001D5FA3"/>
    <w:rsid w:val="001D711A"/>
    <w:rsid w:val="001E09FA"/>
    <w:rsid w:val="001E0B26"/>
    <w:rsid w:val="001E0F93"/>
    <w:rsid w:val="001F348C"/>
    <w:rsid w:val="001F4AE9"/>
    <w:rsid w:val="00202A6F"/>
    <w:rsid w:val="00215CFE"/>
    <w:rsid w:val="002162B6"/>
    <w:rsid w:val="00217EEC"/>
    <w:rsid w:val="00221D07"/>
    <w:rsid w:val="0022793C"/>
    <w:rsid w:val="00227E4A"/>
    <w:rsid w:val="00227F90"/>
    <w:rsid w:val="00231912"/>
    <w:rsid w:val="0023224A"/>
    <w:rsid w:val="002352D8"/>
    <w:rsid w:val="00235703"/>
    <w:rsid w:val="002378F3"/>
    <w:rsid w:val="002421C1"/>
    <w:rsid w:val="002437DA"/>
    <w:rsid w:val="00250119"/>
    <w:rsid w:val="00252BD4"/>
    <w:rsid w:val="002560AD"/>
    <w:rsid w:val="00257CE0"/>
    <w:rsid w:val="002755B7"/>
    <w:rsid w:val="002811B3"/>
    <w:rsid w:val="00283CC7"/>
    <w:rsid w:val="00284453"/>
    <w:rsid w:val="0029204E"/>
    <w:rsid w:val="002A0194"/>
    <w:rsid w:val="002A0D15"/>
    <w:rsid w:val="002A5C21"/>
    <w:rsid w:val="002A5F8B"/>
    <w:rsid w:val="002A7BF4"/>
    <w:rsid w:val="002A7F6C"/>
    <w:rsid w:val="002B2B2A"/>
    <w:rsid w:val="002B3579"/>
    <w:rsid w:val="002C1950"/>
    <w:rsid w:val="002C6A76"/>
    <w:rsid w:val="002D5E1C"/>
    <w:rsid w:val="002F097A"/>
    <w:rsid w:val="002F6488"/>
    <w:rsid w:val="003048C1"/>
    <w:rsid w:val="00306201"/>
    <w:rsid w:val="003103E1"/>
    <w:rsid w:val="003106EE"/>
    <w:rsid w:val="003111A8"/>
    <w:rsid w:val="00311286"/>
    <w:rsid w:val="00320F3B"/>
    <w:rsid w:val="003213F9"/>
    <w:rsid w:val="003216F2"/>
    <w:rsid w:val="00323179"/>
    <w:rsid w:val="00323DBF"/>
    <w:rsid w:val="00326C59"/>
    <w:rsid w:val="0033069F"/>
    <w:rsid w:val="00332B12"/>
    <w:rsid w:val="00333386"/>
    <w:rsid w:val="00337CBC"/>
    <w:rsid w:val="00346E33"/>
    <w:rsid w:val="00351B07"/>
    <w:rsid w:val="00354460"/>
    <w:rsid w:val="00360720"/>
    <w:rsid w:val="00360E77"/>
    <w:rsid w:val="00367769"/>
    <w:rsid w:val="00367C31"/>
    <w:rsid w:val="00370C19"/>
    <w:rsid w:val="003719A3"/>
    <w:rsid w:val="00371B29"/>
    <w:rsid w:val="003766F8"/>
    <w:rsid w:val="00380106"/>
    <w:rsid w:val="00383FDE"/>
    <w:rsid w:val="00390821"/>
    <w:rsid w:val="00391769"/>
    <w:rsid w:val="0039485D"/>
    <w:rsid w:val="003953E1"/>
    <w:rsid w:val="003956B3"/>
    <w:rsid w:val="00395ADA"/>
    <w:rsid w:val="003A59BB"/>
    <w:rsid w:val="003A68BE"/>
    <w:rsid w:val="003A7B84"/>
    <w:rsid w:val="003B1042"/>
    <w:rsid w:val="003B2DEF"/>
    <w:rsid w:val="003B4980"/>
    <w:rsid w:val="003B5594"/>
    <w:rsid w:val="003B69B7"/>
    <w:rsid w:val="003C00B1"/>
    <w:rsid w:val="003C27D2"/>
    <w:rsid w:val="003C463B"/>
    <w:rsid w:val="003C4969"/>
    <w:rsid w:val="003C7080"/>
    <w:rsid w:val="003D20D4"/>
    <w:rsid w:val="003D2DC7"/>
    <w:rsid w:val="003E41D5"/>
    <w:rsid w:val="003E46BA"/>
    <w:rsid w:val="003E66A8"/>
    <w:rsid w:val="003F1EFE"/>
    <w:rsid w:val="003F74C1"/>
    <w:rsid w:val="00402D2B"/>
    <w:rsid w:val="00405B1A"/>
    <w:rsid w:val="004108D7"/>
    <w:rsid w:val="00410C76"/>
    <w:rsid w:val="00411907"/>
    <w:rsid w:val="00417EE3"/>
    <w:rsid w:val="004207EB"/>
    <w:rsid w:val="00421730"/>
    <w:rsid w:val="00424BB9"/>
    <w:rsid w:val="00430D71"/>
    <w:rsid w:val="004338D2"/>
    <w:rsid w:val="00436D1E"/>
    <w:rsid w:val="00437276"/>
    <w:rsid w:val="00442056"/>
    <w:rsid w:val="0045293B"/>
    <w:rsid w:val="00456B54"/>
    <w:rsid w:val="00464643"/>
    <w:rsid w:val="00465AC1"/>
    <w:rsid w:val="00473079"/>
    <w:rsid w:val="00474A5F"/>
    <w:rsid w:val="00477376"/>
    <w:rsid w:val="00477CF6"/>
    <w:rsid w:val="00486793"/>
    <w:rsid w:val="00486C66"/>
    <w:rsid w:val="00486F79"/>
    <w:rsid w:val="004901F5"/>
    <w:rsid w:val="0049090B"/>
    <w:rsid w:val="00492F1F"/>
    <w:rsid w:val="00493964"/>
    <w:rsid w:val="00493DFD"/>
    <w:rsid w:val="00494021"/>
    <w:rsid w:val="00495540"/>
    <w:rsid w:val="00495C4A"/>
    <w:rsid w:val="004A2037"/>
    <w:rsid w:val="004A761F"/>
    <w:rsid w:val="004A793C"/>
    <w:rsid w:val="004A7ABE"/>
    <w:rsid w:val="004B633B"/>
    <w:rsid w:val="004C00D9"/>
    <w:rsid w:val="004C19A6"/>
    <w:rsid w:val="004D6FFA"/>
    <w:rsid w:val="004D7530"/>
    <w:rsid w:val="004E468F"/>
    <w:rsid w:val="004E6B1B"/>
    <w:rsid w:val="004E6CF9"/>
    <w:rsid w:val="004F0A62"/>
    <w:rsid w:val="004F23AB"/>
    <w:rsid w:val="004F4F98"/>
    <w:rsid w:val="004F69F6"/>
    <w:rsid w:val="004F6E82"/>
    <w:rsid w:val="004F79AC"/>
    <w:rsid w:val="004F7C02"/>
    <w:rsid w:val="0050127E"/>
    <w:rsid w:val="00501F90"/>
    <w:rsid w:val="00503907"/>
    <w:rsid w:val="005042B1"/>
    <w:rsid w:val="00506FE9"/>
    <w:rsid w:val="00513958"/>
    <w:rsid w:val="005146A9"/>
    <w:rsid w:val="00517C42"/>
    <w:rsid w:val="00520670"/>
    <w:rsid w:val="005207D8"/>
    <w:rsid w:val="0052240D"/>
    <w:rsid w:val="00523930"/>
    <w:rsid w:val="005244F1"/>
    <w:rsid w:val="00553F82"/>
    <w:rsid w:val="005555E4"/>
    <w:rsid w:val="00555755"/>
    <w:rsid w:val="00557C7E"/>
    <w:rsid w:val="00561F7F"/>
    <w:rsid w:val="00562917"/>
    <w:rsid w:val="0056412C"/>
    <w:rsid w:val="005646F7"/>
    <w:rsid w:val="005664CB"/>
    <w:rsid w:val="00571196"/>
    <w:rsid w:val="00571B8C"/>
    <w:rsid w:val="00586073"/>
    <w:rsid w:val="00586228"/>
    <w:rsid w:val="005967A1"/>
    <w:rsid w:val="005A572E"/>
    <w:rsid w:val="005A6708"/>
    <w:rsid w:val="005A7A03"/>
    <w:rsid w:val="005B1029"/>
    <w:rsid w:val="005B5F42"/>
    <w:rsid w:val="005B6AF4"/>
    <w:rsid w:val="005C04CB"/>
    <w:rsid w:val="005C0BD0"/>
    <w:rsid w:val="005C3A8A"/>
    <w:rsid w:val="005C453E"/>
    <w:rsid w:val="005D05FC"/>
    <w:rsid w:val="005D16AD"/>
    <w:rsid w:val="005D2016"/>
    <w:rsid w:val="005D2882"/>
    <w:rsid w:val="005D6395"/>
    <w:rsid w:val="005D6638"/>
    <w:rsid w:val="005D72E1"/>
    <w:rsid w:val="005D7490"/>
    <w:rsid w:val="005E1563"/>
    <w:rsid w:val="005E1714"/>
    <w:rsid w:val="005E6E16"/>
    <w:rsid w:val="005F1664"/>
    <w:rsid w:val="005F400E"/>
    <w:rsid w:val="005F7342"/>
    <w:rsid w:val="005F780C"/>
    <w:rsid w:val="00610A3C"/>
    <w:rsid w:val="00610F4E"/>
    <w:rsid w:val="00614FFB"/>
    <w:rsid w:val="006200D9"/>
    <w:rsid w:val="00627F48"/>
    <w:rsid w:val="00632BBA"/>
    <w:rsid w:val="006364BC"/>
    <w:rsid w:val="00650A79"/>
    <w:rsid w:val="0065140B"/>
    <w:rsid w:val="00652C07"/>
    <w:rsid w:val="006600F7"/>
    <w:rsid w:val="00663FCF"/>
    <w:rsid w:val="006652A2"/>
    <w:rsid w:val="00670538"/>
    <w:rsid w:val="00672C7A"/>
    <w:rsid w:val="006740C2"/>
    <w:rsid w:val="006837FE"/>
    <w:rsid w:val="00683EA9"/>
    <w:rsid w:val="00684370"/>
    <w:rsid w:val="00690916"/>
    <w:rsid w:val="0069256B"/>
    <w:rsid w:val="006973B6"/>
    <w:rsid w:val="006A087F"/>
    <w:rsid w:val="006A21A8"/>
    <w:rsid w:val="006A3846"/>
    <w:rsid w:val="006A48A7"/>
    <w:rsid w:val="006A5624"/>
    <w:rsid w:val="006B3513"/>
    <w:rsid w:val="006B3CBE"/>
    <w:rsid w:val="006B7183"/>
    <w:rsid w:val="006C3BF6"/>
    <w:rsid w:val="006C5CF5"/>
    <w:rsid w:val="006C5DED"/>
    <w:rsid w:val="006C614D"/>
    <w:rsid w:val="006D038F"/>
    <w:rsid w:val="006D1C3D"/>
    <w:rsid w:val="006D415D"/>
    <w:rsid w:val="006D4EE6"/>
    <w:rsid w:val="006E1BE6"/>
    <w:rsid w:val="006F2971"/>
    <w:rsid w:val="006F4A82"/>
    <w:rsid w:val="006F4AAC"/>
    <w:rsid w:val="00704AD9"/>
    <w:rsid w:val="00705A66"/>
    <w:rsid w:val="0070775F"/>
    <w:rsid w:val="00710441"/>
    <w:rsid w:val="0071260B"/>
    <w:rsid w:val="00716D66"/>
    <w:rsid w:val="007200EC"/>
    <w:rsid w:val="00724FA4"/>
    <w:rsid w:val="00725924"/>
    <w:rsid w:val="00726072"/>
    <w:rsid w:val="00730800"/>
    <w:rsid w:val="007343A1"/>
    <w:rsid w:val="00740BCB"/>
    <w:rsid w:val="007439D5"/>
    <w:rsid w:val="00755F02"/>
    <w:rsid w:val="00756A0B"/>
    <w:rsid w:val="007602AA"/>
    <w:rsid w:val="007652EF"/>
    <w:rsid w:val="00767C74"/>
    <w:rsid w:val="00770736"/>
    <w:rsid w:val="007714A4"/>
    <w:rsid w:val="00772BDC"/>
    <w:rsid w:val="00773C92"/>
    <w:rsid w:val="00780792"/>
    <w:rsid w:val="00785768"/>
    <w:rsid w:val="00786F04"/>
    <w:rsid w:val="007A44B4"/>
    <w:rsid w:val="007A7D3D"/>
    <w:rsid w:val="007B015E"/>
    <w:rsid w:val="007B225D"/>
    <w:rsid w:val="007B4A16"/>
    <w:rsid w:val="007B6C84"/>
    <w:rsid w:val="007C1861"/>
    <w:rsid w:val="007C1C64"/>
    <w:rsid w:val="007C4574"/>
    <w:rsid w:val="007C714E"/>
    <w:rsid w:val="007D221B"/>
    <w:rsid w:val="007D41BD"/>
    <w:rsid w:val="007D47FA"/>
    <w:rsid w:val="007D5427"/>
    <w:rsid w:val="007E48BC"/>
    <w:rsid w:val="007E58C3"/>
    <w:rsid w:val="007E79F7"/>
    <w:rsid w:val="007F2993"/>
    <w:rsid w:val="007F3630"/>
    <w:rsid w:val="00800373"/>
    <w:rsid w:val="00807559"/>
    <w:rsid w:val="00807ACD"/>
    <w:rsid w:val="00810CBA"/>
    <w:rsid w:val="00810E45"/>
    <w:rsid w:val="00811D57"/>
    <w:rsid w:val="008120BC"/>
    <w:rsid w:val="0081538C"/>
    <w:rsid w:val="00824C07"/>
    <w:rsid w:val="00826D7D"/>
    <w:rsid w:val="008332D7"/>
    <w:rsid w:val="008416DA"/>
    <w:rsid w:val="0084243F"/>
    <w:rsid w:val="008450BC"/>
    <w:rsid w:val="00846033"/>
    <w:rsid w:val="00847066"/>
    <w:rsid w:val="0085311A"/>
    <w:rsid w:val="0085334B"/>
    <w:rsid w:val="008537BA"/>
    <w:rsid w:val="00854285"/>
    <w:rsid w:val="00860507"/>
    <w:rsid w:val="00866FF9"/>
    <w:rsid w:val="00870214"/>
    <w:rsid w:val="00871778"/>
    <w:rsid w:val="00883558"/>
    <w:rsid w:val="008844E4"/>
    <w:rsid w:val="00885C51"/>
    <w:rsid w:val="008861FA"/>
    <w:rsid w:val="008900EA"/>
    <w:rsid w:val="00895307"/>
    <w:rsid w:val="00895716"/>
    <w:rsid w:val="00896B85"/>
    <w:rsid w:val="008A3DB3"/>
    <w:rsid w:val="008B36B3"/>
    <w:rsid w:val="008B4D31"/>
    <w:rsid w:val="008C301D"/>
    <w:rsid w:val="008C47FC"/>
    <w:rsid w:val="008C617F"/>
    <w:rsid w:val="008D06C6"/>
    <w:rsid w:val="008E09E8"/>
    <w:rsid w:val="008E6250"/>
    <w:rsid w:val="008F2BCA"/>
    <w:rsid w:val="008F6DE6"/>
    <w:rsid w:val="008F7CCD"/>
    <w:rsid w:val="00910B60"/>
    <w:rsid w:val="00913818"/>
    <w:rsid w:val="00920249"/>
    <w:rsid w:val="00921DE1"/>
    <w:rsid w:val="00921FBD"/>
    <w:rsid w:val="00922A54"/>
    <w:rsid w:val="00925AAA"/>
    <w:rsid w:val="00932F14"/>
    <w:rsid w:val="0093760E"/>
    <w:rsid w:val="00941564"/>
    <w:rsid w:val="0094247F"/>
    <w:rsid w:val="00942D60"/>
    <w:rsid w:val="00947534"/>
    <w:rsid w:val="009478A1"/>
    <w:rsid w:val="00947F3E"/>
    <w:rsid w:val="00957370"/>
    <w:rsid w:val="00957965"/>
    <w:rsid w:val="0096036A"/>
    <w:rsid w:val="009608C6"/>
    <w:rsid w:val="0096523B"/>
    <w:rsid w:val="0096600C"/>
    <w:rsid w:val="00967125"/>
    <w:rsid w:val="00972D06"/>
    <w:rsid w:val="00972E47"/>
    <w:rsid w:val="00996712"/>
    <w:rsid w:val="009A1951"/>
    <w:rsid w:val="009A391C"/>
    <w:rsid w:val="009A7750"/>
    <w:rsid w:val="009B386E"/>
    <w:rsid w:val="009B7381"/>
    <w:rsid w:val="009C2364"/>
    <w:rsid w:val="009C2A61"/>
    <w:rsid w:val="009C2C03"/>
    <w:rsid w:val="009D67B0"/>
    <w:rsid w:val="009E0A61"/>
    <w:rsid w:val="009E2042"/>
    <w:rsid w:val="009E20F5"/>
    <w:rsid w:val="009E3010"/>
    <w:rsid w:val="009F585C"/>
    <w:rsid w:val="009F5B3A"/>
    <w:rsid w:val="009F7065"/>
    <w:rsid w:val="00A03327"/>
    <w:rsid w:val="00A07A2D"/>
    <w:rsid w:val="00A1425F"/>
    <w:rsid w:val="00A1510E"/>
    <w:rsid w:val="00A208BC"/>
    <w:rsid w:val="00A30E63"/>
    <w:rsid w:val="00A318EB"/>
    <w:rsid w:val="00A406EF"/>
    <w:rsid w:val="00A4119C"/>
    <w:rsid w:val="00A43180"/>
    <w:rsid w:val="00A45AAF"/>
    <w:rsid w:val="00A478BF"/>
    <w:rsid w:val="00A507D3"/>
    <w:rsid w:val="00A56DC7"/>
    <w:rsid w:val="00A60112"/>
    <w:rsid w:val="00A670A7"/>
    <w:rsid w:val="00A70D18"/>
    <w:rsid w:val="00A74FD1"/>
    <w:rsid w:val="00A771B4"/>
    <w:rsid w:val="00A771ED"/>
    <w:rsid w:val="00A81FB2"/>
    <w:rsid w:val="00A84620"/>
    <w:rsid w:val="00A8494F"/>
    <w:rsid w:val="00A84A58"/>
    <w:rsid w:val="00A87027"/>
    <w:rsid w:val="00A90F60"/>
    <w:rsid w:val="00A9311C"/>
    <w:rsid w:val="00A9348E"/>
    <w:rsid w:val="00A9526B"/>
    <w:rsid w:val="00A96594"/>
    <w:rsid w:val="00AA1D97"/>
    <w:rsid w:val="00AA2F6F"/>
    <w:rsid w:val="00AA6FA3"/>
    <w:rsid w:val="00AB6C6B"/>
    <w:rsid w:val="00AC259E"/>
    <w:rsid w:val="00AC2996"/>
    <w:rsid w:val="00AC4230"/>
    <w:rsid w:val="00AC428E"/>
    <w:rsid w:val="00AD1DA1"/>
    <w:rsid w:val="00AD3F0B"/>
    <w:rsid w:val="00AD78D5"/>
    <w:rsid w:val="00AE006A"/>
    <w:rsid w:val="00AF234E"/>
    <w:rsid w:val="00AF24FA"/>
    <w:rsid w:val="00AF387F"/>
    <w:rsid w:val="00AF7A44"/>
    <w:rsid w:val="00B00E7F"/>
    <w:rsid w:val="00B05FEC"/>
    <w:rsid w:val="00B10FD7"/>
    <w:rsid w:val="00B11AAC"/>
    <w:rsid w:val="00B17B00"/>
    <w:rsid w:val="00B21DCC"/>
    <w:rsid w:val="00B25F37"/>
    <w:rsid w:val="00B261E3"/>
    <w:rsid w:val="00B36164"/>
    <w:rsid w:val="00B4291C"/>
    <w:rsid w:val="00B43CD3"/>
    <w:rsid w:val="00B44422"/>
    <w:rsid w:val="00B46EA0"/>
    <w:rsid w:val="00B52E73"/>
    <w:rsid w:val="00B55339"/>
    <w:rsid w:val="00B6289C"/>
    <w:rsid w:val="00B70009"/>
    <w:rsid w:val="00B707DA"/>
    <w:rsid w:val="00B71F00"/>
    <w:rsid w:val="00B731D3"/>
    <w:rsid w:val="00B839A3"/>
    <w:rsid w:val="00B902BD"/>
    <w:rsid w:val="00B9590E"/>
    <w:rsid w:val="00B96C59"/>
    <w:rsid w:val="00BA50A8"/>
    <w:rsid w:val="00BA5B94"/>
    <w:rsid w:val="00BA60D9"/>
    <w:rsid w:val="00BA7F9E"/>
    <w:rsid w:val="00BB0799"/>
    <w:rsid w:val="00BB1395"/>
    <w:rsid w:val="00BB1EB6"/>
    <w:rsid w:val="00BB79AD"/>
    <w:rsid w:val="00BC0949"/>
    <w:rsid w:val="00BD2A39"/>
    <w:rsid w:val="00BD2E80"/>
    <w:rsid w:val="00BD35F8"/>
    <w:rsid w:val="00BD49FF"/>
    <w:rsid w:val="00BE0F38"/>
    <w:rsid w:val="00BE11B8"/>
    <w:rsid w:val="00BF111C"/>
    <w:rsid w:val="00BF2D7D"/>
    <w:rsid w:val="00BF4366"/>
    <w:rsid w:val="00BF7FF0"/>
    <w:rsid w:val="00C03692"/>
    <w:rsid w:val="00C04ABC"/>
    <w:rsid w:val="00C051AB"/>
    <w:rsid w:val="00C07E07"/>
    <w:rsid w:val="00C12048"/>
    <w:rsid w:val="00C12502"/>
    <w:rsid w:val="00C1374F"/>
    <w:rsid w:val="00C17240"/>
    <w:rsid w:val="00C4076E"/>
    <w:rsid w:val="00C40AA5"/>
    <w:rsid w:val="00C41C73"/>
    <w:rsid w:val="00C4620E"/>
    <w:rsid w:val="00C46F70"/>
    <w:rsid w:val="00C476D0"/>
    <w:rsid w:val="00C5045B"/>
    <w:rsid w:val="00C512FA"/>
    <w:rsid w:val="00C550F2"/>
    <w:rsid w:val="00C61AF0"/>
    <w:rsid w:val="00C62A51"/>
    <w:rsid w:val="00C65094"/>
    <w:rsid w:val="00C65B2E"/>
    <w:rsid w:val="00C7058B"/>
    <w:rsid w:val="00C7130D"/>
    <w:rsid w:val="00C752A7"/>
    <w:rsid w:val="00C77982"/>
    <w:rsid w:val="00C836E3"/>
    <w:rsid w:val="00C858DF"/>
    <w:rsid w:val="00C86577"/>
    <w:rsid w:val="00C92E07"/>
    <w:rsid w:val="00C939DF"/>
    <w:rsid w:val="00C96868"/>
    <w:rsid w:val="00CA0416"/>
    <w:rsid w:val="00CA5734"/>
    <w:rsid w:val="00CA5D0B"/>
    <w:rsid w:val="00CA5D3E"/>
    <w:rsid w:val="00CB115C"/>
    <w:rsid w:val="00CB1F0A"/>
    <w:rsid w:val="00CB2E54"/>
    <w:rsid w:val="00CB5D88"/>
    <w:rsid w:val="00CB79C0"/>
    <w:rsid w:val="00CC3D8C"/>
    <w:rsid w:val="00CC47C6"/>
    <w:rsid w:val="00CC560B"/>
    <w:rsid w:val="00CC5DB9"/>
    <w:rsid w:val="00CC75E2"/>
    <w:rsid w:val="00CD46EB"/>
    <w:rsid w:val="00CD5D34"/>
    <w:rsid w:val="00CD6112"/>
    <w:rsid w:val="00CD7EBF"/>
    <w:rsid w:val="00CE6631"/>
    <w:rsid w:val="00CF0298"/>
    <w:rsid w:val="00CF0380"/>
    <w:rsid w:val="00CF0BE1"/>
    <w:rsid w:val="00CF1AFF"/>
    <w:rsid w:val="00CF3CD4"/>
    <w:rsid w:val="00CF3FE3"/>
    <w:rsid w:val="00CF4D51"/>
    <w:rsid w:val="00CF6B7C"/>
    <w:rsid w:val="00CF6C6E"/>
    <w:rsid w:val="00CF795F"/>
    <w:rsid w:val="00D00C98"/>
    <w:rsid w:val="00D056F1"/>
    <w:rsid w:val="00D056F3"/>
    <w:rsid w:val="00D062C8"/>
    <w:rsid w:val="00D10CD3"/>
    <w:rsid w:val="00D11EAF"/>
    <w:rsid w:val="00D12F89"/>
    <w:rsid w:val="00D15A08"/>
    <w:rsid w:val="00D162E1"/>
    <w:rsid w:val="00D205EB"/>
    <w:rsid w:val="00D231D0"/>
    <w:rsid w:val="00D23DB6"/>
    <w:rsid w:val="00D248B6"/>
    <w:rsid w:val="00D33B41"/>
    <w:rsid w:val="00D343E5"/>
    <w:rsid w:val="00D37F2F"/>
    <w:rsid w:val="00D406B8"/>
    <w:rsid w:val="00D42806"/>
    <w:rsid w:val="00D46617"/>
    <w:rsid w:val="00D51906"/>
    <w:rsid w:val="00D51A95"/>
    <w:rsid w:val="00D57590"/>
    <w:rsid w:val="00D60568"/>
    <w:rsid w:val="00D62326"/>
    <w:rsid w:val="00D70C7A"/>
    <w:rsid w:val="00D71D6C"/>
    <w:rsid w:val="00D72D2A"/>
    <w:rsid w:val="00D74746"/>
    <w:rsid w:val="00D76760"/>
    <w:rsid w:val="00D768FE"/>
    <w:rsid w:val="00D8018F"/>
    <w:rsid w:val="00D81014"/>
    <w:rsid w:val="00D875CF"/>
    <w:rsid w:val="00D9210A"/>
    <w:rsid w:val="00DA10A8"/>
    <w:rsid w:val="00DB12EE"/>
    <w:rsid w:val="00DB1E08"/>
    <w:rsid w:val="00DB2973"/>
    <w:rsid w:val="00DB74E5"/>
    <w:rsid w:val="00DC1693"/>
    <w:rsid w:val="00DC1B56"/>
    <w:rsid w:val="00DC2129"/>
    <w:rsid w:val="00DC3ECE"/>
    <w:rsid w:val="00DC592F"/>
    <w:rsid w:val="00DC6570"/>
    <w:rsid w:val="00DC77CB"/>
    <w:rsid w:val="00DD3703"/>
    <w:rsid w:val="00DD7460"/>
    <w:rsid w:val="00DE3553"/>
    <w:rsid w:val="00DE793C"/>
    <w:rsid w:val="00DF09E7"/>
    <w:rsid w:val="00DF25C3"/>
    <w:rsid w:val="00E00939"/>
    <w:rsid w:val="00E02DF9"/>
    <w:rsid w:val="00E04062"/>
    <w:rsid w:val="00E063C6"/>
    <w:rsid w:val="00E072A5"/>
    <w:rsid w:val="00E07790"/>
    <w:rsid w:val="00E07A7C"/>
    <w:rsid w:val="00E1393C"/>
    <w:rsid w:val="00E14E08"/>
    <w:rsid w:val="00E164A1"/>
    <w:rsid w:val="00E2003B"/>
    <w:rsid w:val="00E240FB"/>
    <w:rsid w:val="00E24398"/>
    <w:rsid w:val="00E279D8"/>
    <w:rsid w:val="00E319B1"/>
    <w:rsid w:val="00E31C62"/>
    <w:rsid w:val="00E3309E"/>
    <w:rsid w:val="00E337B6"/>
    <w:rsid w:val="00E3583A"/>
    <w:rsid w:val="00E439D0"/>
    <w:rsid w:val="00E45E55"/>
    <w:rsid w:val="00E465EE"/>
    <w:rsid w:val="00E51758"/>
    <w:rsid w:val="00E52098"/>
    <w:rsid w:val="00E52625"/>
    <w:rsid w:val="00E53A73"/>
    <w:rsid w:val="00E5492F"/>
    <w:rsid w:val="00E5554E"/>
    <w:rsid w:val="00E56AC5"/>
    <w:rsid w:val="00E572B1"/>
    <w:rsid w:val="00E60A86"/>
    <w:rsid w:val="00E639EE"/>
    <w:rsid w:val="00E649C6"/>
    <w:rsid w:val="00E70A86"/>
    <w:rsid w:val="00E7428F"/>
    <w:rsid w:val="00E777EC"/>
    <w:rsid w:val="00E8036C"/>
    <w:rsid w:val="00E80FCD"/>
    <w:rsid w:val="00E853BA"/>
    <w:rsid w:val="00E8698B"/>
    <w:rsid w:val="00E878EA"/>
    <w:rsid w:val="00E934DA"/>
    <w:rsid w:val="00E9602A"/>
    <w:rsid w:val="00E97DBA"/>
    <w:rsid w:val="00EA4F64"/>
    <w:rsid w:val="00EA73D2"/>
    <w:rsid w:val="00EA7F2F"/>
    <w:rsid w:val="00EB3315"/>
    <w:rsid w:val="00EB3F1F"/>
    <w:rsid w:val="00EB6590"/>
    <w:rsid w:val="00EC00DE"/>
    <w:rsid w:val="00EC30E1"/>
    <w:rsid w:val="00EC3436"/>
    <w:rsid w:val="00EC56CB"/>
    <w:rsid w:val="00ED172A"/>
    <w:rsid w:val="00ED2794"/>
    <w:rsid w:val="00ED6673"/>
    <w:rsid w:val="00EE32AF"/>
    <w:rsid w:val="00EE72EC"/>
    <w:rsid w:val="00EE7EBE"/>
    <w:rsid w:val="00F01D6C"/>
    <w:rsid w:val="00F02D6C"/>
    <w:rsid w:val="00F04470"/>
    <w:rsid w:val="00F0547E"/>
    <w:rsid w:val="00F11E4B"/>
    <w:rsid w:val="00F14BEC"/>
    <w:rsid w:val="00F178FC"/>
    <w:rsid w:val="00F225C5"/>
    <w:rsid w:val="00F2587A"/>
    <w:rsid w:val="00F27550"/>
    <w:rsid w:val="00F34E02"/>
    <w:rsid w:val="00F36B7C"/>
    <w:rsid w:val="00F36EC2"/>
    <w:rsid w:val="00F3715D"/>
    <w:rsid w:val="00F37A10"/>
    <w:rsid w:val="00F40C23"/>
    <w:rsid w:val="00F420B3"/>
    <w:rsid w:val="00F420C8"/>
    <w:rsid w:val="00F4235C"/>
    <w:rsid w:val="00F42A4C"/>
    <w:rsid w:val="00F46C95"/>
    <w:rsid w:val="00F500D1"/>
    <w:rsid w:val="00F526BD"/>
    <w:rsid w:val="00F53D8E"/>
    <w:rsid w:val="00F53EBA"/>
    <w:rsid w:val="00F56347"/>
    <w:rsid w:val="00F56462"/>
    <w:rsid w:val="00F71B67"/>
    <w:rsid w:val="00F834A3"/>
    <w:rsid w:val="00F837D5"/>
    <w:rsid w:val="00F85732"/>
    <w:rsid w:val="00F919AB"/>
    <w:rsid w:val="00F95667"/>
    <w:rsid w:val="00F9715B"/>
    <w:rsid w:val="00F979CE"/>
    <w:rsid w:val="00FA0743"/>
    <w:rsid w:val="00FA522F"/>
    <w:rsid w:val="00FA5F16"/>
    <w:rsid w:val="00FB4336"/>
    <w:rsid w:val="00FB7512"/>
    <w:rsid w:val="00FB7CDC"/>
    <w:rsid w:val="00FC0889"/>
    <w:rsid w:val="00FC32E3"/>
    <w:rsid w:val="00FC3A69"/>
    <w:rsid w:val="00FD1F31"/>
    <w:rsid w:val="00FD24EF"/>
    <w:rsid w:val="00FD5A2F"/>
    <w:rsid w:val="00FD6A69"/>
    <w:rsid w:val="00FD7547"/>
    <w:rsid w:val="00FE0409"/>
    <w:rsid w:val="00FE3551"/>
    <w:rsid w:val="00FF32FC"/>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C9FA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1F0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5C0BD0"/>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D4EE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C301D"/>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C0BD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D4EE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C301D"/>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A318EB"/>
    <w:rPr>
      <w:color w:val="auto"/>
      <w:u w:val="single"/>
    </w:rPr>
  </w:style>
  <w:style w:type="paragraph" w:styleId="Header">
    <w:name w:val="header"/>
    <w:basedOn w:val="Normal"/>
    <w:link w:val="HeaderChar"/>
    <w:rsid w:val="00E777EC"/>
  </w:style>
  <w:style w:type="paragraph" w:customStyle="1" w:styleId="FSTitle">
    <w:name w:val="FS Title"/>
    <w:basedOn w:val="Normal"/>
    <w:qFormat/>
    <w:rsid w:val="00967125"/>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B96C59"/>
    <w:pPr>
      <w:tabs>
        <w:tab w:val="center" w:pos="4153"/>
        <w:tab w:val="right" w:pos="8306"/>
      </w:tabs>
    </w:pPr>
    <w:rPr>
      <w:sz w:val="20"/>
    </w:rPr>
  </w:style>
  <w:style w:type="character" w:styleId="PageNumber">
    <w:name w:val="page number"/>
    <w:basedOn w:val="DefaultParagraphFont"/>
    <w:rsid w:val="00B96C59"/>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A318EB"/>
    <w:rPr>
      <w:color w:val="800080"/>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144651"/>
    <w:pPr>
      <w:tabs>
        <w:tab w:val="left" w:pos="851"/>
      </w:tabs>
    </w:pPr>
    <w:rPr>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124EB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57294"/>
    <w:pPr>
      <w:widowControl/>
      <w:numPr>
        <w:numId w:val="1"/>
      </w:numPr>
      <w:ind w:left="567" w:hanging="567"/>
    </w:pPr>
    <w:rPr>
      <w:rFonts w:cs="Arial"/>
      <w:lang w:bidi="ar-SA"/>
    </w:rPr>
  </w:style>
  <w:style w:type="character" w:customStyle="1" w:styleId="FSBullet1Char">
    <w:name w:val="FSBullet 1 Char"/>
    <w:link w:val="FSBullet1"/>
    <w:rsid w:val="00057294"/>
    <w:rPr>
      <w:rFonts w:ascii="Arial" w:hAnsi="Arial" w:cs="Arial"/>
      <w:sz w:val="22"/>
      <w:szCs w:val="24"/>
      <w:lang w:eastAsia="en-US"/>
    </w:rPr>
  </w:style>
  <w:style w:type="paragraph" w:customStyle="1" w:styleId="FSBullet2">
    <w:name w:val="FSBullet 2"/>
    <w:basedOn w:val="Normal"/>
    <w:qFormat/>
    <w:rsid w:val="00CA5734"/>
    <w:pPr>
      <w:widowControl/>
      <w:numPr>
        <w:numId w:val="2"/>
      </w:numPr>
    </w:pPr>
    <w:rPr>
      <w:rFonts w:eastAsia="Calibri"/>
      <w:szCs w:val="22"/>
      <w:lang w:bidi="ar-SA"/>
    </w:rPr>
  </w:style>
  <w:style w:type="paragraph" w:customStyle="1" w:styleId="FSBullet3">
    <w:name w:val="FSBullet 3"/>
    <w:basedOn w:val="Normal"/>
    <w:qFormat/>
    <w:rsid w:val="00CA5734"/>
    <w:pPr>
      <w:keepNext/>
      <w:widowControl/>
      <w:numPr>
        <w:numId w:val="3"/>
      </w:numPr>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22793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279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227F90"/>
    <w:rPr>
      <w:rFonts w:ascii="Arial" w:hAnsi="Arial"/>
      <w:sz w:val="22"/>
      <w:szCs w:val="24"/>
      <w:lang w:eastAsia="en-US" w:bidi="en-US"/>
    </w:rPr>
  </w:style>
  <w:style w:type="paragraph" w:customStyle="1" w:styleId="FSCbaseheading">
    <w:name w:val="FSC_base_heading"/>
    <w:rsid w:val="00B71F00"/>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71F00"/>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71F00"/>
    <w:pPr>
      <w:spacing w:before="60" w:after="60"/>
      <w:ind w:left="0" w:firstLine="0"/>
    </w:pPr>
    <w:rPr>
      <w:sz w:val="18"/>
    </w:rPr>
  </w:style>
  <w:style w:type="paragraph" w:customStyle="1" w:styleId="FSCbaseTOC">
    <w:name w:val="FSC_base_TOC"/>
    <w:rsid w:val="00B71F00"/>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B71F00"/>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71F00"/>
    <w:pPr>
      <w:spacing w:before="120" w:after="120"/>
      <w:ind w:left="851" w:hanging="851"/>
    </w:pPr>
    <w:rPr>
      <w:b/>
      <w:sz w:val="20"/>
      <w:szCs w:val="20"/>
      <w:lang w:bidi="ar-SA"/>
    </w:rPr>
  </w:style>
  <w:style w:type="paragraph" w:customStyle="1" w:styleId="FSCfooter">
    <w:name w:val="FSC_footer"/>
    <w:basedOn w:val="Normal"/>
    <w:rsid w:val="00B71F00"/>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71F00"/>
    <w:pPr>
      <w:spacing w:before="0" w:after="240"/>
      <w:outlineLvl w:val="0"/>
    </w:pPr>
    <w:rPr>
      <w:bCs w:val="0"/>
      <w:sz w:val="40"/>
    </w:rPr>
  </w:style>
  <w:style w:type="paragraph" w:customStyle="1" w:styleId="FSCh2Part">
    <w:name w:val="FSC_h2_Part"/>
    <w:basedOn w:val="FSCbaseheading"/>
    <w:next w:val="Normal"/>
    <w:qFormat/>
    <w:rsid w:val="00B71F00"/>
    <w:pPr>
      <w:spacing w:before="240" w:after="240"/>
      <w:outlineLvl w:val="1"/>
    </w:pPr>
    <w:rPr>
      <w:bCs w:val="0"/>
      <w:sz w:val="36"/>
      <w:szCs w:val="22"/>
    </w:rPr>
  </w:style>
  <w:style w:type="paragraph" w:customStyle="1" w:styleId="FSCh3Standard">
    <w:name w:val="FSC_h3_Standard"/>
    <w:basedOn w:val="FSCbaseheading"/>
    <w:next w:val="Normal"/>
    <w:qFormat/>
    <w:rsid w:val="00B71F00"/>
    <w:pPr>
      <w:spacing w:before="0" w:after="240"/>
      <w:outlineLvl w:val="2"/>
    </w:pPr>
    <w:rPr>
      <w:sz w:val="32"/>
    </w:rPr>
  </w:style>
  <w:style w:type="paragraph" w:customStyle="1" w:styleId="FSCh3Contents">
    <w:name w:val="FSC_h3_Contents"/>
    <w:basedOn w:val="FSCh3Standard"/>
    <w:rsid w:val="00B71F00"/>
    <w:pPr>
      <w:ind w:left="0" w:firstLine="0"/>
      <w:jc w:val="center"/>
    </w:pPr>
  </w:style>
  <w:style w:type="paragraph" w:customStyle="1" w:styleId="FSCh4Div">
    <w:name w:val="FSC_h4_Div"/>
    <w:basedOn w:val="FSCbaseheading"/>
    <w:next w:val="Normal"/>
    <w:qFormat/>
    <w:rsid w:val="00B71F0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71F00"/>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B71F00"/>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B71F00"/>
    <w:pPr>
      <w:keepLines w:val="0"/>
      <w:widowControl w:val="0"/>
      <w:spacing w:before="120" w:after="60"/>
      <w:ind w:left="1701" w:firstLine="0"/>
    </w:pPr>
    <w:rPr>
      <w:b w:val="0"/>
      <w:i/>
      <w:sz w:val="20"/>
    </w:rPr>
  </w:style>
  <w:style w:type="paragraph" w:customStyle="1" w:styleId="FSCtMain">
    <w:name w:val="FSC_t_Main"/>
    <w:basedOn w:val="FSCbasepara"/>
    <w:rsid w:val="00B71F00"/>
    <w:pPr>
      <w:keepLines w:val="0"/>
      <w:widowControl w:val="0"/>
      <w:tabs>
        <w:tab w:val="left" w:pos="1134"/>
      </w:tabs>
      <w:spacing w:after="120"/>
    </w:pPr>
  </w:style>
  <w:style w:type="paragraph" w:customStyle="1" w:styleId="FSCnatHeading">
    <w:name w:val="FSC_n_at_Heading"/>
    <w:basedOn w:val="FSCtMain"/>
    <w:qFormat/>
    <w:rsid w:val="00B71F00"/>
    <w:pPr>
      <w:ind w:left="851" w:hanging="851"/>
    </w:pPr>
    <w:rPr>
      <w:sz w:val="16"/>
    </w:rPr>
  </w:style>
  <w:style w:type="paragraph" w:customStyle="1" w:styleId="FSCtPara">
    <w:name w:val="FSC_t_Para"/>
    <w:basedOn w:val="FSCtMain"/>
    <w:qFormat/>
    <w:rsid w:val="00B71F00"/>
    <w:pPr>
      <w:tabs>
        <w:tab w:val="clear" w:pos="1134"/>
        <w:tab w:val="left" w:pos="1701"/>
      </w:tabs>
      <w:spacing w:before="60" w:after="60"/>
      <w:ind w:left="2268" w:hanging="2268"/>
    </w:pPr>
  </w:style>
  <w:style w:type="paragraph" w:customStyle="1" w:styleId="FSCnMain">
    <w:name w:val="FSC_n_Main"/>
    <w:basedOn w:val="FSCtPara"/>
    <w:qFormat/>
    <w:rsid w:val="00B71F00"/>
    <w:rPr>
      <w:iCs w:val="0"/>
      <w:sz w:val="16"/>
      <w:szCs w:val="18"/>
    </w:rPr>
  </w:style>
  <w:style w:type="paragraph" w:customStyle="1" w:styleId="FSCtSubpara">
    <w:name w:val="FSC_t_Subpara"/>
    <w:basedOn w:val="FSCtMain"/>
    <w:qFormat/>
    <w:rsid w:val="00B71F00"/>
    <w:pPr>
      <w:tabs>
        <w:tab w:val="clear" w:pos="1134"/>
        <w:tab w:val="left" w:pos="2268"/>
      </w:tabs>
      <w:spacing w:before="60" w:after="60"/>
      <w:ind w:left="2835" w:hanging="2835"/>
    </w:pPr>
  </w:style>
  <w:style w:type="paragraph" w:customStyle="1" w:styleId="FSCnPara">
    <w:name w:val="FSC_n_Para"/>
    <w:basedOn w:val="FSCtSubpara"/>
    <w:qFormat/>
    <w:rsid w:val="00B71F00"/>
    <w:rPr>
      <w:sz w:val="16"/>
    </w:rPr>
  </w:style>
  <w:style w:type="paragraph" w:customStyle="1" w:styleId="FSCtSubsub">
    <w:name w:val="FSC_t_Subsub"/>
    <w:basedOn w:val="FSCtPara"/>
    <w:qFormat/>
    <w:rsid w:val="00B71F00"/>
    <w:pPr>
      <w:tabs>
        <w:tab w:val="clear" w:pos="1701"/>
        <w:tab w:val="left" w:pos="2835"/>
      </w:tabs>
      <w:ind w:left="3402" w:hanging="3402"/>
    </w:pPr>
  </w:style>
  <w:style w:type="paragraph" w:customStyle="1" w:styleId="FSCnSubpara">
    <w:name w:val="FSC_n_Subpara"/>
    <w:basedOn w:val="FSCtSubsub"/>
    <w:qFormat/>
    <w:rsid w:val="00B71F00"/>
    <w:rPr>
      <w:sz w:val="16"/>
    </w:rPr>
  </w:style>
  <w:style w:type="paragraph" w:customStyle="1" w:styleId="FSCnSubsub">
    <w:name w:val="FSC_n_Subsub"/>
    <w:basedOn w:val="FSCnSubpara"/>
    <w:qFormat/>
    <w:rsid w:val="00B71F00"/>
    <w:pPr>
      <w:tabs>
        <w:tab w:val="clear" w:pos="2835"/>
        <w:tab w:val="left" w:pos="3402"/>
      </w:tabs>
      <w:ind w:left="3969" w:hanging="3969"/>
    </w:pPr>
  </w:style>
  <w:style w:type="paragraph" w:customStyle="1" w:styleId="FSCoContents">
    <w:name w:val="FSC_o_Contents"/>
    <w:basedOn w:val="FSCh2Part"/>
    <w:rsid w:val="00B71F00"/>
    <w:pPr>
      <w:ind w:left="0" w:firstLine="0"/>
      <w:jc w:val="center"/>
    </w:pPr>
  </w:style>
  <w:style w:type="paragraph" w:customStyle="1" w:styleId="FSCoDraftstrip">
    <w:name w:val="FSC_o_Draft_strip"/>
    <w:basedOn w:val="Normal"/>
    <w:rsid w:val="00B71F00"/>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71F00"/>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71F00"/>
    <w:pPr>
      <w:widowControl/>
      <w:spacing w:before="80"/>
    </w:pPr>
    <w:rPr>
      <w:color w:val="7030A0"/>
      <w:lang w:eastAsia="en-AU" w:bidi="ar-SA"/>
    </w:rPr>
  </w:style>
  <w:style w:type="paragraph" w:customStyle="1" w:styleId="FSCoFooter">
    <w:name w:val="FSC_o_Footer"/>
    <w:basedOn w:val="Normal"/>
    <w:rsid w:val="00B71F00"/>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71F00"/>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71F00"/>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71F00"/>
    <w:rPr>
      <w:rFonts w:ascii="Arial" w:hAnsi="Arial"/>
      <w:b/>
      <w:noProof/>
      <w:szCs w:val="24"/>
      <w:lang w:eastAsia="en-AU"/>
    </w:rPr>
  </w:style>
  <w:style w:type="paragraph" w:customStyle="1" w:styleId="FSCoParaMark">
    <w:name w:val="FSC_o_Para_Mark"/>
    <w:basedOn w:val="Normal"/>
    <w:next w:val="Normal"/>
    <w:qFormat/>
    <w:rsid w:val="00B71F00"/>
    <w:pPr>
      <w:widowControl/>
    </w:pPr>
    <w:rPr>
      <w:sz w:val="16"/>
      <w:lang w:eastAsia="en-AU" w:bidi="ar-SA"/>
    </w:rPr>
  </w:style>
  <w:style w:type="paragraph" w:customStyle="1" w:styleId="FSCoStandardEnd">
    <w:name w:val="FSC_o_Standard_End"/>
    <w:basedOn w:val="FSCtMain"/>
    <w:qFormat/>
    <w:rsid w:val="00B71F00"/>
    <w:pPr>
      <w:spacing w:before="240" w:after="0"/>
      <w:jc w:val="center"/>
    </w:pPr>
    <w:rPr>
      <w:iCs w:val="0"/>
    </w:rPr>
  </w:style>
  <w:style w:type="paragraph" w:customStyle="1" w:styleId="FSCoTitleofInstrument">
    <w:name w:val="FSC_o_Title_of_Instrument"/>
    <w:basedOn w:val="Normal"/>
    <w:rsid w:val="00B71F00"/>
    <w:pPr>
      <w:widowControl/>
      <w:spacing w:before="200"/>
    </w:pPr>
    <w:rPr>
      <w:b/>
      <w:sz w:val="32"/>
      <w:lang w:eastAsia="en-AU" w:bidi="ar-SA"/>
    </w:rPr>
  </w:style>
  <w:style w:type="paragraph" w:customStyle="1" w:styleId="FSCoutChap">
    <w:name w:val="FSC_out_Chap"/>
    <w:basedOn w:val="FSCh4Div"/>
    <w:qFormat/>
    <w:rsid w:val="00B71F00"/>
    <w:pPr>
      <w:tabs>
        <w:tab w:val="left" w:pos="1701"/>
      </w:tabs>
      <w:spacing w:after="120"/>
      <w:ind w:left="3402" w:hanging="3402"/>
    </w:pPr>
  </w:style>
  <w:style w:type="paragraph" w:customStyle="1" w:styleId="FSCoutPart">
    <w:name w:val="FSC_out_Part"/>
    <w:basedOn w:val="FSCh5Section"/>
    <w:qFormat/>
    <w:rsid w:val="00B71F00"/>
    <w:pPr>
      <w:keepNext w:val="0"/>
      <w:tabs>
        <w:tab w:val="left" w:pos="1701"/>
      </w:tabs>
      <w:ind w:left="3402" w:hanging="3402"/>
    </w:pPr>
  </w:style>
  <w:style w:type="paragraph" w:customStyle="1" w:styleId="FSCoutStand">
    <w:name w:val="FSC_out_Stand"/>
    <w:basedOn w:val="FSCtMain"/>
    <w:qFormat/>
    <w:rsid w:val="00B71F00"/>
    <w:pPr>
      <w:tabs>
        <w:tab w:val="clear" w:pos="1134"/>
        <w:tab w:val="left" w:pos="1701"/>
      </w:tabs>
      <w:ind w:left="3402" w:hanging="3402"/>
    </w:pPr>
  </w:style>
  <w:style w:type="paragraph" w:customStyle="1" w:styleId="FSCtDefn">
    <w:name w:val="FSC_t_Defn"/>
    <w:basedOn w:val="FSCtMain"/>
    <w:rsid w:val="00B71F00"/>
    <w:pPr>
      <w:ind w:firstLine="0"/>
    </w:pPr>
  </w:style>
  <w:style w:type="paragraph" w:customStyle="1" w:styleId="FSCtblAddh1">
    <w:name w:val="FSC_tbl_Add_h1"/>
    <w:basedOn w:val="FSCh4Div"/>
    <w:rsid w:val="00B71F00"/>
    <w:pPr>
      <w:spacing w:before="120" w:after="120"/>
    </w:pPr>
    <w:rPr>
      <w:rFonts w:eastAsiaTheme="minorHAnsi"/>
      <w:sz w:val="20"/>
      <w:lang w:eastAsia="en-US"/>
    </w:rPr>
  </w:style>
  <w:style w:type="paragraph" w:customStyle="1" w:styleId="FSCtblAddh2">
    <w:name w:val="FSC_tbl_Add_h2"/>
    <w:basedOn w:val="FSCtblAddh1"/>
    <w:rsid w:val="00B71F00"/>
    <w:pPr>
      <w:spacing w:before="60" w:after="60"/>
    </w:pPr>
    <w:rPr>
      <w:i/>
    </w:rPr>
  </w:style>
  <w:style w:type="paragraph" w:customStyle="1" w:styleId="FSCtblAddh3">
    <w:name w:val="FSC_tbl_Add_h3"/>
    <w:basedOn w:val="Normal"/>
    <w:rsid w:val="00B71F00"/>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71F00"/>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71F00"/>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71F00"/>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71F00"/>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71F00"/>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71F00"/>
    <w:pPr>
      <w:widowControl/>
      <w:ind w:left="113" w:hanging="113"/>
    </w:pPr>
    <w:rPr>
      <w:bCs/>
      <w:sz w:val="16"/>
      <w:szCs w:val="20"/>
      <w:lang w:bidi="ar-SA"/>
    </w:rPr>
  </w:style>
  <w:style w:type="paragraph" w:customStyle="1" w:styleId="FSCtblh2">
    <w:name w:val="FSC_tbl_h2"/>
    <w:basedOn w:val="Normal"/>
    <w:qFormat/>
    <w:rsid w:val="00B71F00"/>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71F00"/>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71F00"/>
    <w:pPr>
      <w:keepNext/>
      <w:keepLines/>
      <w:widowControl/>
      <w:spacing w:before="60" w:after="60"/>
    </w:pPr>
    <w:rPr>
      <w:rFonts w:cs="Arial"/>
      <w:i/>
      <w:sz w:val="18"/>
      <w:szCs w:val="22"/>
      <w:lang w:eastAsia="en-AU" w:bidi="ar-SA"/>
    </w:rPr>
  </w:style>
  <w:style w:type="paragraph" w:customStyle="1" w:styleId="FSCtblMain">
    <w:name w:val="FSC_tbl_Main"/>
    <w:basedOn w:val="Normal"/>
    <w:rsid w:val="00B71F00"/>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B71F00"/>
    <w:pPr>
      <w:jc w:val="center"/>
    </w:pPr>
    <w:rPr>
      <w:rFonts w:eastAsiaTheme="minorHAnsi"/>
      <w:lang w:eastAsia="en-US"/>
    </w:rPr>
  </w:style>
  <w:style w:type="paragraph" w:customStyle="1" w:styleId="FSCtblMainRH">
    <w:name w:val="FSC_tbl_Main_RH"/>
    <w:basedOn w:val="FSCtblMain"/>
    <w:qFormat/>
    <w:rsid w:val="00B71F00"/>
    <w:pPr>
      <w:jc w:val="right"/>
    </w:pPr>
    <w:rPr>
      <w:rFonts w:eastAsiaTheme="minorHAnsi"/>
      <w:lang w:eastAsia="en-US"/>
    </w:rPr>
  </w:style>
  <w:style w:type="paragraph" w:customStyle="1" w:styleId="FSCtblMRL1">
    <w:name w:val="FSC_tbl_MRL1"/>
    <w:basedOn w:val="Normal"/>
    <w:rsid w:val="00B71F00"/>
    <w:pPr>
      <w:keepLines/>
      <w:widowControl/>
      <w:spacing w:before="20" w:after="20"/>
    </w:pPr>
    <w:rPr>
      <w:rFonts w:cs="Arial"/>
      <w:sz w:val="18"/>
      <w:szCs w:val="20"/>
      <w:lang w:eastAsia="en-AU" w:bidi="ar-SA"/>
    </w:rPr>
  </w:style>
  <w:style w:type="paragraph" w:customStyle="1" w:styleId="FSCtblMRL2">
    <w:name w:val="FSC_tbl_MRL2"/>
    <w:basedOn w:val="FSCtblMRL1"/>
    <w:qFormat/>
    <w:rsid w:val="00B71F00"/>
    <w:pPr>
      <w:jc w:val="right"/>
    </w:pPr>
    <w:rPr>
      <w:rFonts w:eastAsiaTheme="minorHAnsi"/>
      <w:lang w:eastAsia="en-US"/>
    </w:rPr>
  </w:style>
  <w:style w:type="paragraph" w:customStyle="1" w:styleId="FSCtblPara">
    <w:name w:val="FSC_tbl_Para"/>
    <w:basedOn w:val="Normal"/>
    <w:rsid w:val="00B71F00"/>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71F00"/>
    <w:pPr>
      <w:keepLines/>
      <w:widowControl/>
      <w:spacing w:before="60" w:after="60"/>
      <w:ind w:left="794" w:hanging="397"/>
    </w:pPr>
    <w:rPr>
      <w:rFonts w:cs="Arial"/>
      <w:sz w:val="18"/>
      <w:szCs w:val="22"/>
      <w:lang w:eastAsia="en-AU" w:bidi="ar-SA"/>
    </w:rPr>
  </w:style>
  <w:style w:type="paragraph" w:customStyle="1" w:styleId="Default">
    <w:name w:val="Default"/>
    <w:rsid w:val="00C4076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11E4B"/>
    <w:pPr>
      <w:ind w:left="720"/>
      <w:contextualSpacing/>
    </w:pPr>
  </w:style>
  <w:style w:type="character" w:customStyle="1" w:styleId="FootnoteTextChar">
    <w:name w:val="Footnote Text Char"/>
    <w:aliases w:val="Footnotes Text Char,FSFootnotes Text Char,FSFootnote Text Char"/>
    <w:basedOn w:val="DefaultParagraphFont"/>
    <w:link w:val="FootnoteText"/>
    <w:uiPriority w:val="99"/>
    <w:rsid w:val="00FC3A69"/>
    <w:rPr>
      <w:rFonts w:ascii="Arial" w:hAnsi="Arial"/>
      <w:lang w:eastAsia="en-US" w:bidi="en-US"/>
    </w:rPr>
  </w:style>
  <w:style w:type="character" w:customStyle="1" w:styleId="srch-url2">
    <w:name w:val="srch-url2"/>
    <w:basedOn w:val="DefaultParagraphFont"/>
    <w:rsid w:val="00FC3A69"/>
  </w:style>
  <w:style w:type="table" w:customStyle="1" w:styleId="LightList-Accent11">
    <w:name w:val="Light List - Accent 11"/>
    <w:basedOn w:val="TableNormal"/>
    <w:uiPriority w:val="61"/>
    <w:rsid w:val="00D162E1"/>
    <w:rPr>
      <w:rFonts w:ascii="Arial" w:eastAsia="Calibr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s-rtefontsize-21">
    <w:name w:val="ms-rtefontsize-21"/>
    <w:basedOn w:val="DefaultParagraphFont"/>
    <w:rsid w:val="00AE006A"/>
    <w:rPr>
      <w:sz w:val="20"/>
      <w:szCs w:val="20"/>
    </w:rPr>
  </w:style>
  <w:style w:type="paragraph" w:customStyle="1" w:styleId="FSTableFigureHeading">
    <w:name w:val="FSTable/Figure Heading"/>
    <w:basedOn w:val="Normal"/>
    <w:uiPriority w:val="7"/>
    <w:qFormat/>
    <w:locked/>
    <w:rsid w:val="00100482"/>
    <w:pPr>
      <w:widowControl/>
      <w:spacing w:before="120" w:after="120"/>
      <w:ind w:left="1134" w:hanging="1134"/>
    </w:pPr>
    <w:rPr>
      <w:rFonts w:eastAsiaTheme="minorHAnsi" w:cstheme="minorBidi"/>
      <w:b/>
      <w:i/>
      <w:szCs w:val="22"/>
      <w:lang w:bidi="ar-SA"/>
    </w:rPr>
  </w:style>
  <w:style w:type="paragraph" w:customStyle="1" w:styleId="FSBullet">
    <w:name w:val="FS Bullet"/>
    <w:basedOn w:val="Normal"/>
    <w:link w:val="FSBulletChar"/>
    <w:qFormat/>
    <w:rsid w:val="00E97DBA"/>
    <w:pPr>
      <w:numPr>
        <w:numId w:val="10"/>
      </w:numPr>
      <w:ind w:left="567" w:hanging="567"/>
    </w:pPr>
    <w:rPr>
      <w:rFonts w:cs="Arial"/>
    </w:rPr>
  </w:style>
  <w:style w:type="character" w:customStyle="1" w:styleId="FSBulletChar">
    <w:name w:val="FS Bullet Char"/>
    <w:link w:val="FSBullet"/>
    <w:rsid w:val="00E97DBA"/>
    <w:rPr>
      <w:rFonts w:ascii="Arial" w:hAnsi="Arial" w:cs="Arial"/>
      <w:sz w:val="22"/>
      <w:szCs w:val="24"/>
      <w:lang w:eastAsia="en-US" w:bidi="en-US"/>
    </w:rPr>
  </w:style>
  <w:style w:type="character" w:customStyle="1" w:styleId="st1">
    <w:name w:val="st1"/>
    <w:basedOn w:val="DefaultParagraphFont"/>
    <w:rsid w:val="00E97D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lsdException w:name="heading 8" w:uiPriority="9"/>
    <w:lsdException w:name="heading 9" w:uiPriority="9"/>
    <w:lsdException w:name="toc 1" w:uiPriority="39"/>
    <w:lsdException w:name="toc 2" w:uiPriority="39"/>
    <w:lsdException w:name="toc 3" w:uiPriority="39"/>
    <w:lsdException w:name="footnote text" w:uiPriority="99" w:qFormat="1"/>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lsdException w:name="Emphasis" w:semiHidden="0" w:uiPriority="20" w:unhideWhenUsed="0"/>
    <w:lsdException w:name="No Lis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71F00"/>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5C0BD0"/>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6D4EE6"/>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C301D"/>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5C0BD0"/>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6D4EE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C301D"/>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A318EB"/>
    <w:rPr>
      <w:color w:val="auto"/>
      <w:u w:val="single"/>
    </w:rPr>
  </w:style>
  <w:style w:type="paragraph" w:styleId="Header">
    <w:name w:val="header"/>
    <w:basedOn w:val="Normal"/>
    <w:link w:val="HeaderChar"/>
    <w:rsid w:val="00E777EC"/>
  </w:style>
  <w:style w:type="paragraph" w:customStyle="1" w:styleId="FSTitle">
    <w:name w:val="FS Title"/>
    <w:basedOn w:val="Normal"/>
    <w:qFormat/>
    <w:rsid w:val="00967125"/>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B96C59"/>
    <w:pPr>
      <w:tabs>
        <w:tab w:val="center" w:pos="4153"/>
        <w:tab w:val="right" w:pos="8306"/>
      </w:tabs>
    </w:pPr>
    <w:rPr>
      <w:sz w:val="20"/>
    </w:rPr>
  </w:style>
  <w:style w:type="character" w:styleId="PageNumber">
    <w:name w:val="page number"/>
    <w:basedOn w:val="DefaultParagraphFont"/>
    <w:rsid w:val="00B96C59"/>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A318EB"/>
    <w:rPr>
      <w:color w:val="800080"/>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144651"/>
    <w:pPr>
      <w:tabs>
        <w:tab w:val="left" w:pos="851"/>
      </w:tabs>
    </w:pPr>
    <w:rPr>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uiPriority w:val="99"/>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124EB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057294"/>
    <w:pPr>
      <w:widowControl/>
      <w:numPr>
        <w:numId w:val="1"/>
      </w:numPr>
      <w:ind w:left="567" w:hanging="567"/>
    </w:pPr>
    <w:rPr>
      <w:rFonts w:cs="Arial"/>
      <w:lang w:bidi="ar-SA"/>
    </w:rPr>
  </w:style>
  <w:style w:type="character" w:customStyle="1" w:styleId="FSBullet1Char">
    <w:name w:val="FSBullet 1 Char"/>
    <w:link w:val="FSBullet1"/>
    <w:rsid w:val="00057294"/>
    <w:rPr>
      <w:rFonts w:ascii="Arial" w:hAnsi="Arial" w:cs="Arial"/>
      <w:sz w:val="22"/>
      <w:szCs w:val="24"/>
      <w:lang w:eastAsia="en-US"/>
    </w:rPr>
  </w:style>
  <w:style w:type="paragraph" w:customStyle="1" w:styleId="FSBullet2">
    <w:name w:val="FSBullet 2"/>
    <w:basedOn w:val="Normal"/>
    <w:qFormat/>
    <w:rsid w:val="00CA5734"/>
    <w:pPr>
      <w:widowControl/>
      <w:numPr>
        <w:numId w:val="2"/>
      </w:numPr>
    </w:pPr>
    <w:rPr>
      <w:rFonts w:eastAsia="Calibri"/>
      <w:szCs w:val="22"/>
      <w:lang w:bidi="ar-SA"/>
    </w:rPr>
  </w:style>
  <w:style w:type="paragraph" w:customStyle="1" w:styleId="FSBullet3">
    <w:name w:val="FSBullet 3"/>
    <w:basedOn w:val="Normal"/>
    <w:qFormat/>
    <w:rsid w:val="00CA5734"/>
    <w:pPr>
      <w:keepNext/>
      <w:widowControl/>
      <w:numPr>
        <w:numId w:val="3"/>
      </w:numPr>
    </w:pPr>
    <w:rPr>
      <w:rFonts w:eastAsia="Calibri"/>
      <w:b/>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Revision">
    <w:name w:val="Revision"/>
    <w:hidden/>
    <w:uiPriority w:val="99"/>
    <w:semiHidden/>
    <w:rsid w:val="0022793C"/>
    <w:rPr>
      <w:rFonts w:ascii="Arial" w:hAnsi="Arial"/>
      <w:sz w:val="22"/>
      <w:szCs w:val="24"/>
      <w:lang w:eastAsia="en-US" w:bidi="en-US"/>
    </w:rPr>
  </w:style>
  <w:style w:type="table" w:customStyle="1" w:styleId="MediumShading1-Accent31">
    <w:name w:val="Medium Shading 1 - Accent 31"/>
    <w:basedOn w:val="TableNormal"/>
    <w:next w:val="MediumShading1-Accent3"/>
    <w:uiPriority w:val="63"/>
    <w:rsid w:val="0022793C"/>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227F90"/>
    <w:rPr>
      <w:rFonts w:ascii="Arial" w:hAnsi="Arial"/>
      <w:sz w:val="22"/>
      <w:szCs w:val="24"/>
      <w:lang w:eastAsia="en-US" w:bidi="en-US"/>
    </w:rPr>
  </w:style>
  <w:style w:type="paragraph" w:customStyle="1" w:styleId="FSCbaseheading">
    <w:name w:val="FSC_base_heading"/>
    <w:rsid w:val="00B71F00"/>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B71F00"/>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B71F00"/>
    <w:pPr>
      <w:spacing w:before="60" w:after="60"/>
      <w:ind w:left="0" w:firstLine="0"/>
    </w:pPr>
    <w:rPr>
      <w:sz w:val="18"/>
    </w:rPr>
  </w:style>
  <w:style w:type="paragraph" w:customStyle="1" w:styleId="FSCbaseTOC">
    <w:name w:val="FSC_base_TOC"/>
    <w:rsid w:val="00B71F00"/>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B71F00"/>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B71F00"/>
    <w:pPr>
      <w:spacing w:before="120" w:after="120"/>
      <w:ind w:left="851" w:hanging="851"/>
    </w:pPr>
    <w:rPr>
      <w:b/>
      <w:sz w:val="20"/>
      <w:szCs w:val="20"/>
      <w:lang w:bidi="ar-SA"/>
    </w:rPr>
  </w:style>
  <w:style w:type="paragraph" w:customStyle="1" w:styleId="FSCfooter">
    <w:name w:val="FSC_footer"/>
    <w:basedOn w:val="Normal"/>
    <w:rsid w:val="00B71F00"/>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B71F00"/>
    <w:pPr>
      <w:spacing w:before="0" w:after="240"/>
      <w:outlineLvl w:val="0"/>
    </w:pPr>
    <w:rPr>
      <w:bCs w:val="0"/>
      <w:sz w:val="40"/>
    </w:rPr>
  </w:style>
  <w:style w:type="paragraph" w:customStyle="1" w:styleId="FSCh2Part">
    <w:name w:val="FSC_h2_Part"/>
    <w:basedOn w:val="FSCbaseheading"/>
    <w:next w:val="Normal"/>
    <w:qFormat/>
    <w:rsid w:val="00B71F00"/>
    <w:pPr>
      <w:spacing w:before="240" w:after="240"/>
      <w:outlineLvl w:val="1"/>
    </w:pPr>
    <w:rPr>
      <w:bCs w:val="0"/>
      <w:sz w:val="36"/>
      <w:szCs w:val="22"/>
    </w:rPr>
  </w:style>
  <w:style w:type="paragraph" w:customStyle="1" w:styleId="FSCh3Standard">
    <w:name w:val="FSC_h3_Standard"/>
    <w:basedOn w:val="FSCbaseheading"/>
    <w:next w:val="Normal"/>
    <w:qFormat/>
    <w:rsid w:val="00B71F00"/>
    <w:pPr>
      <w:spacing w:before="0" w:after="240"/>
      <w:outlineLvl w:val="2"/>
    </w:pPr>
    <w:rPr>
      <w:sz w:val="32"/>
    </w:rPr>
  </w:style>
  <w:style w:type="paragraph" w:customStyle="1" w:styleId="FSCh3Contents">
    <w:name w:val="FSC_h3_Contents"/>
    <w:basedOn w:val="FSCh3Standard"/>
    <w:rsid w:val="00B71F00"/>
    <w:pPr>
      <w:ind w:left="0" w:firstLine="0"/>
      <w:jc w:val="center"/>
    </w:pPr>
  </w:style>
  <w:style w:type="paragraph" w:customStyle="1" w:styleId="FSCh4Div">
    <w:name w:val="FSC_h4_Div"/>
    <w:basedOn w:val="FSCbaseheading"/>
    <w:next w:val="Normal"/>
    <w:qFormat/>
    <w:rsid w:val="00B71F00"/>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B71F00"/>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B71F00"/>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B71F00"/>
    <w:pPr>
      <w:keepLines w:val="0"/>
      <w:widowControl w:val="0"/>
      <w:spacing w:before="120" w:after="60"/>
      <w:ind w:left="1701" w:firstLine="0"/>
    </w:pPr>
    <w:rPr>
      <w:b w:val="0"/>
      <w:i/>
      <w:sz w:val="20"/>
    </w:rPr>
  </w:style>
  <w:style w:type="paragraph" w:customStyle="1" w:styleId="FSCtMain">
    <w:name w:val="FSC_t_Main"/>
    <w:basedOn w:val="FSCbasepara"/>
    <w:rsid w:val="00B71F00"/>
    <w:pPr>
      <w:keepLines w:val="0"/>
      <w:widowControl w:val="0"/>
      <w:tabs>
        <w:tab w:val="left" w:pos="1134"/>
      </w:tabs>
      <w:spacing w:after="120"/>
    </w:pPr>
  </w:style>
  <w:style w:type="paragraph" w:customStyle="1" w:styleId="FSCnatHeading">
    <w:name w:val="FSC_n_at_Heading"/>
    <w:basedOn w:val="FSCtMain"/>
    <w:qFormat/>
    <w:rsid w:val="00B71F00"/>
    <w:pPr>
      <w:ind w:left="851" w:hanging="851"/>
    </w:pPr>
    <w:rPr>
      <w:sz w:val="16"/>
    </w:rPr>
  </w:style>
  <w:style w:type="paragraph" w:customStyle="1" w:styleId="FSCtPara">
    <w:name w:val="FSC_t_Para"/>
    <w:basedOn w:val="FSCtMain"/>
    <w:qFormat/>
    <w:rsid w:val="00B71F00"/>
    <w:pPr>
      <w:tabs>
        <w:tab w:val="clear" w:pos="1134"/>
        <w:tab w:val="left" w:pos="1701"/>
      </w:tabs>
      <w:spacing w:before="60" w:after="60"/>
      <w:ind w:left="2268" w:hanging="2268"/>
    </w:pPr>
  </w:style>
  <w:style w:type="paragraph" w:customStyle="1" w:styleId="FSCnMain">
    <w:name w:val="FSC_n_Main"/>
    <w:basedOn w:val="FSCtPara"/>
    <w:qFormat/>
    <w:rsid w:val="00B71F00"/>
    <w:rPr>
      <w:iCs w:val="0"/>
      <w:sz w:val="16"/>
      <w:szCs w:val="18"/>
    </w:rPr>
  </w:style>
  <w:style w:type="paragraph" w:customStyle="1" w:styleId="FSCtSubpara">
    <w:name w:val="FSC_t_Subpara"/>
    <w:basedOn w:val="FSCtMain"/>
    <w:qFormat/>
    <w:rsid w:val="00B71F00"/>
    <w:pPr>
      <w:tabs>
        <w:tab w:val="clear" w:pos="1134"/>
        <w:tab w:val="left" w:pos="2268"/>
      </w:tabs>
      <w:spacing w:before="60" w:after="60"/>
      <w:ind w:left="2835" w:hanging="2835"/>
    </w:pPr>
  </w:style>
  <w:style w:type="paragraph" w:customStyle="1" w:styleId="FSCnPara">
    <w:name w:val="FSC_n_Para"/>
    <w:basedOn w:val="FSCtSubpara"/>
    <w:qFormat/>
    <w:rsid w:val="00B71F00"/>
    <w:rPr>
      <w:sz w:val="16"/>
    </w:rPr>
  </w:style>
  <w:style w:type="paragraph" w:customStyle="1" w:styleId="FSCtSubsub">
    <w:name w:val="FSC_t_Subsub"/>
    <w:basedOn w:val="FSCtPara"/>
    <w:qFormat/>
    <w:rsid w:val="00B71F00"/>
    <w:pPr>
      <w:tabs>
        <w:tab w:val="clear" w:pos="1701"/>
        <w:tab w:val="left" w:pos="2835"/>
      </w:tabs>
      <w:ind w:left="3402" w:hanging="3402"/>
    </w:pPr>
  </w:style>
  <w:style w:type="paragraph" w:customStyle="1" w:styleId="FSCnSubpara">
    <w:name w:val="FSC_n_Subpara"/>
    <w:basedOn w:val="FSCtSubsub"/>
    <w:qFormat/>
    <w:rsid w:val="00B71F00"/>
    <w:rPr>
      <w:sz w:val="16"/>
    </w:rPr>
  </w:style>
  <w:style w:type="paragraph" w:customStyle="1" w:styleId="FSCnSubsub">
    <w:name w:val="FSC_n_Subsub"/>
    <w:basedOn w:val="FSCnSubpara"/>
    <w:qFormat/>
    <w:rsid w:val="00B71F00"/>
    <w:pPr>
      <w:tabs>
        <w:tab w:val="clear" w:pos="2835"/>
        <w:tab w:val="left" w:pos="3402"/>
      </w:tabs>
      <w:ind w:left="3969" w:hanging="3969"/>
    </w:pPr>
  </w:style>
  <w:style w:type="paragraph" w:customStyle="1" w:styleId="FSCoContents">
    <w:name w:val="FSC_o_Contents"/>
    <w:basedOn w:val="FSCh2Part"/>
    <w:rsid w:val="00B71F00"/>
    <w:pPr>
      <w:ind w:left="0" w:firstLine="0"/>
      <w:jc w:val="center"/>
    </w:pPr>
  </w:style>
  <w:style w:type="paragraph" w:customStyle="1" w:styleId="FSCoDraftstrip">
    <w:name w:val="FSC_o_Draft_strip"/>
    <w:basedOn w:val="Normal"/>
    <w:rsid w:val="00B71F00"/>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B71F00"/>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B71F00"/>
    <w:pPr>
      <w:widowControl/>
      <w:spacing w:before="80"/>
    </w:pPr>
    <w:rPr>
      <w:color w:val="7030A0"/>
      <w:lang w:eastAsia="en-AU" w:bidi="ar-SA"/>
    </w:rPr>
  </w:style>
  <w:style w:type="paragraph" w:customStyle="1" w:styleId="FSCoFooter">
    <w:name w:val="FSC_o_Footer"/>
    <w:basedOn w:val="Normal"/>
    <w:rsid w:val="00B71F00"/>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B71F00"/>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B71F00"/>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B71F00"/>
    <w:rPr>
      <w:rFonts w:ascii="Arial" w:hAnsi="Arial"/>
      <w:b/>
      <w:noProof/>
      <w:szCs w:val="24"/>
      <w:lang w:eastAsia="en-AU"/>
    </w:rPr>
  </w:style>
  <w:style w:type="paragraph" w:customStyle="1" w:styleId="FSCoParaMark">
    <w:name w:val="FSC_o_Para_Mark"/>
    <w:basedOn w:val="Normal"/>
    <w:next w:val="Normal"/>
    <w:qFormat/>
    <w:rsid w:val="00B71F00"/>
    <w:pPr>
      <w:widowControl/>
    </w:pPr>
    <w:rPr>
      <w:sz w:val="16"/>
      <w:lang w:eastAsia="en-AU" w:bidi="ar-SA"/>
    </w:rPr>
  </w:style>
  <w:style w:type="paragraph" w:customStyle="1" w:styleId="FSCoStandardEnd">
    <w:name w:val="FSC_o_Standard_End"/>
    <w:basedOn w:val="FSCtMain"/>
    <w:qFormat/>
    <w:rsid w:val="00B71F00"/>
    <w:pPr>
      <w:spacing w:before="240" w:after="0"/>
      <w:jc w:val="center"/>
    </w:pPr>
    <w:rPr>
      <w:iCs w:val="0"/>
    </w:rPr>
  </w:style>
  <w:style w:type="paragraph" w:customStyle="1" w:styleId="FSCoTitleofInstrument">
    <w:name w:val="FSC_o_Title_of_Instrument"/>
    <w:basedOn w:val="Normal"/>
    <w:rsid w:val="00B71F00"/>
    <w:pPr>
      <w:widowControl/>
      <w:spacing w:before="200"/>
    </w:pPr>
    <w:rPr>
      <w:b/>
      <w:sz w:val="32"/>
      <w:lang w:eastAsia="en-AU" w:bidi="ar-SA"/>
    </w:rPr>
  </w:style>
  <w:style w:type="paragraph" w:customStyle="1" w:styleId="FSCoutChap">
    <w:name w:val="FSC_out_Chap"/>
    <w:basedOn w:val="FSCh4Div"/>
    <w:qFormat/>
    <w:rsid w:val="00B71F00"/>
    <w:pPr>
      <w:tabs>
        <w:tab w:val="left" w:pos="1701"/>
      </w:tabs>
      <w:spacing w:after="120"/>
      <w:ind w:left="3402" w:hanging="3402"/>
    </w:pPr>
  </w:style>
  <w:style w:type="paragraph" w:customStyle="1" w:styleId="FSCoutPart">
    <w:name w:val="FSC_out_Part"/>
    <w:basedOn w:val="FSCh5Section"/>
    <w:qFormat/>
    <w:rsid w:val="00B71F00"/>
    <w:pPr>
      <w:keepNext w:val="0"/>
      <w:tabs>
        <w:tab w:val="left" w:pos="1701"/>
      </w:tabs>
      <w:ind w:left="3402" w:hanging="3402"/>
    </w:pPr>
  </w:style>
  <w:style w:type="paragraph" w:customStyle="1" w:styleId="FSCoutStand">
    <w:name w:val="FSC_out_Stand"/>
    <w:basedOn w:val="FSCtMain"/>
    <w:qFormat/>
    <w:rsid w:val="00B71F00"/>
    <w:pPr>
      <w:tabs>
        <w:tab w:val="clear" w:pos="1134"/>
        <w:tab w:val="left" w:pos="1701"/>
      </w:tabs>
      <w:ind w:left="3402" w:hanging="3402"/>
    </w:pPr>
  </w:style>
  <w:style w:type="paragraph" w:customStyle="1" w:styleId="FSCtDefn">
    <w:name w:val="FSC_t_Defn"/>
    <w:basedOn w:val="FSCtMain"/>
    <w:rsid w:val="00B71F00"/>
    <w:pPr>
      <w:ind w:firstLine="0"/>
    </w:pPr>
  </w:style>
  <w:style w:type="paragraph" w:customStyle="1" w:styleId="FSCtblAddh1">
    <w:name w:val="FSC_tbl_Add_h1"/>
    <w:basedOn w:val="FSCh4Div"/>
    <w:rsid w:val="00B71F00"/>
    <w:pPr>
      <w:spacing w:before="120" w:after="120"/>
    </w:pPr>
    <w:rPr>
      <w:rFonts w:eastAsiaTheme="minorHAnsi"/>
      <w:sz w:val="20"/>
      <w:lang w:eastAsia="en-US"/>
    </w:rPr>
  </w:style>
  <w:style w:type="paragraph" w:customStyle="1" w:styleId="FSCtblAddh2">
    <w:name w:val="FSC_tbl_Add_h2"/>
    <w:basedOn w:val="FSCtblAddh1"/>
    <w:rsid w:val="00B71F00"/>
    <w:pPr>
      <w:spacing w:before="60" w:after="60"/>
    </w:pPr>
    <w:rPr>
      <w:i/>
    </w:rPr>
  </w:style>
  <w:style w:type="paragraph" w:customStyle="1" w:styleId="FSCtblAddh3">
    <w:name w:val="FSC_tbl_Add_h3"/>
    <w:basedOn w:val="Normal"/>
    <w:rsid w:val="00B71F00"/>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B71F00"/>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B71F00"/>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B71F00"/>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B71F00"/>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B71F00"/>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B71F00"/>
    <w:pPr>
      <w:widowControl/>
      <w:ind w:left="113" w:hanging="113"/>
    </w:pPr>
    <w:rPr>
      <w:bCs/>
      <w:sz w:val="16"/>
      <w:szCs w:val="20"/>
      <w:lang w:bidi="ar-SA"/>
    </w:rPr>
  </w:style>
  <w:style w:type="paragraph" w:customStyle="1" w:styleId="FSCtblh2">
    <w:name w:val="FSC_tbl_h2"/>
    <w:basedOn w:val="Normal"/>
    <w:qFormat/>
    <w:rsid w:val="00B71F00"/>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B71F00"/>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B71F00"/>
    <w:pPr>
      <w:keepNext/>
      <w:keepLines/>
      <w:widowControl/>
      <w:spacing w:before="60" w:after="60"/>
    </w:pPr>
    <w:rPr>
      <w:rFonts w:cs="Arial"/>
      <w:i/>
      <w:sz w:val="18"/>
      <w:szCs w:val="22"/>
      <w:lang w:eastAsia="en-AU" w:bidi="ar-SA"/>
    </w:rPr>
  </w:style>
  <w:style w:type="paragraph" w:customStyle="1" w:styleId="FSCtblMain">
    <w:name w:val="FSC_tbl_Main"/>
    <w:basedOn w:val="Normal"/>
    <w:rsid w:val="00B71F00"/>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B71F00"/>
    <w:pPr>
      <w:jc w:val="center"/>
    </w:pPr>
    <w:rPr>
      <w:rFonts w:eastAsiaTheme="minorHAnsi"/>
      <w:lang w:eastAsia="en-US"/>
    </w:rPr>
  </w:style>
  <w:style w:type="paragraph" w:customStyle="1" w:styleId="FSCtblMainRH">
    <w:name w:val="FSC_tbl_Main_RH"/>
    <w:basedOn w:val="FSCtblMain"/>
    <w:qFormat/>
    <w:rsid w:val="00B71F00"/>
    <w:pPr>
      <w:jc w:val="right"/>
    </w:pPr>
    <w:rPr>
      <w:rFonts w:eastAsiaTheme="minorHAnsi"/>
      <w:lang w:eastAsia="en-US"/>
    </w:rPr>
  </w:style>
  <w:style w:type="paragraph" w:customStyle="1" w:styleId="FSCtblMRL1">
    <w:name w:val="FSC_tbl_MRL1"/>
    <w:basedOn w:val="Normal"/>
    <w:rsid w:val="00B71F00"/>
    <w:pPr>
      <w:keepLines/>
      <w:widowControl/>
      <w:spacing w:before="20" w:after="20"/>
    </w:pPr>
    <w:rPr>
      <w:rFonts w:cs="Arial"/>
      <w:sz w:val="18"/>
      <w:szCs w:val="20"/>
      <w:lang w:eastAsia="en-AU" w:bidi="ar-SA"/>
    </w:rPr>
  </w:style>
  <w:style w:type="paragraph" w:customStyle="1" w:styleId="FSCtblMRL2">
    <w:name w:val="FSC_tbl_MRL2"/>
    <w:basedOn w:val="FSCtblMRL1"/>
    <w:qFormat/>
    <w:rsid w:val="00B71F00"/>
    <w:pPr>
      <w:jc w:val="right"/>
    </w:pPr>
    <w:rPr>
      <w:rFonts w:eastAsiaTheme="minorHAnsi"/>
      <w:lang w:eastAsia="en-US"/>
    </w:rPr>
  </w:style>
  <w:style w:type="paragraph" w:customStyle="1" w:styleId="FSCtblPara">
    <w:name w:val="FSC_tbl_Para"/>
    <w:basedOn w:val="Normal"/>
    <w:rsid w:val="00B71F00"/>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B71F00"/>
    <w:pPr>
      <w:keepLines/>
      <w:widowControl/>
      <w:spacing w:before="60" w:after="60"/>
      <w:ind w:left="794" w:hanging="397"/>
    </w:pPr>
    <w:rPr>
      <w:rFonts w:cs="Arial"/>
      <w:sz w:val="18"/>
      <w:szCs w:val="22"/>
      <w:lang w:eastAsia="en-AU" w:bidi="ar-SA"/>
    </w:rPr>
  </w:style>
  <w:style w:type="paragraph" w:customStyle="1" w:styleId="Default">
    <w:name w:val="Default"/>
    <w:rsid w:val="00C4076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11E4B"/>
    <w:pPr>
      <w:ind w:left="720"/>
      <w:contextualSpacing/>
    </w:pPr>
  </w:style>
  <w:style w:type="character" w:customStyle="1" w:styleId="FootnoteTextChar">
    <w:name w:val="Footnote Text Char"/>
    <w:aliases w:val="Footnotes Text Char,FSFootnotes Text Char,FSFootnote Text Char"/>
    <w:basedOn w:val="DefaultParagraphFont"/>
    <w:link w:val="FootnoteText"/>
    <w:uiPriority w:val="99"/>
    <w:rsid w:val="00FC3A69"/>
    <w:rPr>
      <w:rFonts w:ascii="Arial" w:hAnsi="Arial"/>
      <w:lang w:eastAsia="en-US" w:bidi="en-US"/>
    </w:rPr>
  </w:style>
  <w:style w:type="character" w:customStyle="1" w:styleId="srch-url2">
    <w:name w:val="srch-url2"/>
    <w:basedOn w:val="DefaultParagraphFont"/>
    <w:rsid w:val="00FC3A69"/>
  </w:style>
  <w:style w:type="table" w:customStyle="1" w:styleId="LightList-Accent11">
    <w:name w:val="Light List - Accent 11"/>
    <w:basedOn w:val="TableNormal"/>
    <w:uiPriority w:val="61"/>
    <w:rsid w:val="00D162E1"/>
    <w:rPr>
      <w:rFonts w:ascii="Arial" w:eastAsia="Calibri" w:hAnsi="Arial" w:cs="Arial"/>
      <w:sz w:val="22"/>
      <w:szCs w:val="22"/>
      <w:lang w:val="en-AU"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s-rtefontsize-21">
    <w:name w:val="ms-rtefontsize-21"/>
    <w:basedOn w:val="DefaultParagraphFont"/>
    <w:rsid w:val="00AE006A"/>
    <w:rPr>
      <w:sz w:val="20"/>
      <w:szCs w:val="20"/>
    </w:rPr>
  </w:style>
  <w:style w:type="paragraph" w:customStyle="1" w:styleId="FSTableFigureHeading">
    <w:name w:val="FSTable/Figure Heading"/>
    <w:basedOn w:val="Normal"/>
    <w:uiPriority w:val="7"/>
    <w:qFormat/>
    <w:locked/>
    <w:rsid w:val="00100482"/>
    <w:pPr>
      <w:widowControl/>
      <w:spacing w:before="120" w:after="120"/>
      <w:ind w:left="1134" w:hanging="1134"/>
    </w:pPr>
    <w:rPr>
      <w:rFonts w:eastAsiaTheme="minorHAnsi" w:cstheme="minorBidi"/>
      <w:b/>
      <w:i/>
      <w:szCs w:val="22"/>
      <w:lang w:bidi="ar-SA"/>
    </w:rPr>
  </w:style>
  <w:style w:type="paragraph" w:customStyle="1" w:styleId="FSBullet">
    <w:name w:val="FS Bullet"/>
    <w:basedOn w:val="Normal"/>
    <w:link w:val="FSBulletChar"/>
    <w:qFormat/>
    <w:rsid w:val="00E97DBA"/>
    <w:pPr>
      <w:numPr>
        <w:numId w:val="10"/>
      </w:numPr>
      <w:ind w:left="567" w:hanging="567"/>
    </w:pPr>
    <w:rPr>
      <w:rFonts w:cs="Arial"/>
    </w:rPr>
  </w:style>
  <w:style w:type="character" w:customStyle="1" w:styleId="FSBulletChar">
    <w:name w:val="FS Bullet Char"/>
    <w:link w:val="FSBullet"/>
    <w:rsid w:val="00E97DBA"/>
    <w:rPr>
      <w:rFonts w:ascii="Arial" w:hAnsi="Arial" w:cs="Arial"/>
      <w:sz w:val="22"/>
      <w:szCs w:val="24"/>
      <w:lang w:eastAsia="en-US" w:bidi="en-US"/>
    </w:rPr>
  </w:style>
  <w:style w:type="character" w:customStyle="1" w:styleId="st1">
    <w:name w:val="st1"/>
    <w:basedOn w:val="DefaultParagraphFont"/>
    <w:rsid w:val="00E97D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47182">
      <w:bodyDiv w:val="1"/>
      <w:marLeft w:val="0"/>
      <w:marRight w:val="0"/>
      <w:marTop w:val="0"/>
      <w:marBottom w:val="0"/>
      <w:divBdr>
        <w:top w:val="none" w:sz="0" w:space="0" w:color="auto"/>
        <w:left w:val="none" w:sz="0" w:space="0" w:color="auto"/>
        <w:bottom w:val="none" w:sz="0" w:space="0" w:color="auto"/>
        <w:right w:val="none" w:sz="0" w:space="0" w:color="auto"/>
      </w:divBdr>
    </w:div>
    <w:div w:id="6935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foodstandards.gov.au/code/proposals/Documents/P1034-Packaging-CFS-SD2.pdf" TargetMode="External"/><Relationship Id="rId39" Type="http://schemas.openxmlformats.org/officeDocument/2006/relationships/fontTable" Target="fontTable.xml"/><Relationship Id="rId21" Type="http://schemas.openxmlformats.org/officeDocument/2006/relationships/hyperlink" Target="http://www.foodstandards.gov.au/code/proposals/Pages/P1034ChemicalMigrationfromPackagingintoFood.aspx" TargetMode="External"/><Relationship Id="rId34" Type="http://schemas.openxmlformats.org/officeDocument/2006/relationships/image" Target="media/image4.png"/><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image" Target="media/image2.png"/><Relationship Id="rId33" Type="http://schemas.openxmlformats.org/officeDocument/2006/relationships/package" Target="embeddings/Microsoft_Visio_Drawing11111111111111111.vsdx"/><Relationship Id="rId38" Type="http://schemas.openxmlformats.org/officeDocument/2006/relationships/hyperlink" Target="http://www.foodstandards.gov.au/publications/Documents/24th%20Total%20Diet%20Study_Phase%202.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foodstandards.gov.au/code/proposals/Documents/P1034%20Packaging%201CFS%20SD6%20Summary%20of%20international%20approaches%20to%20CMPF.docx" TargetMode="External"/><Relationship Id="rId41"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oodstandards.gov.au/code/proposals/Pages/P1034ChemicalMigrationfromPackagingintoFood.aspx" TargetMode="External"/><Relationship Id="rId32" Type="http://schemas.openxmlformats.org/officeDocument/2006/relationships/image" Target="media/image3.emf"/><Relationship Id="rId37" Type="http://schemas.openxmlformats.org/officeDocument/2006/relationships/hyperlink" Target="http://www.foodstandards.gov.au/code/proposals/Pages/P1034ChemicalMigrationfromPackagingintoFood.aspx"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foodstandards.gov.au/code/proposals/Pages/P1034ChemicalMigrationfromPackagingintoFood.aspx" TargetMode="External"/><Relationship Id="rId28" Type="http://schemas.openxmlformats.org/officeDocument/2006/relationships/hyperlink" Target="http://www.foodstandards.gov.au/code/proposals/Documents/P1034%20Packaging%201CFS%20SD6%20Summary%20of%20international%20approaches%20to%20CMPF.pdf" TargetMode="External"/><Relationship Id="rId36" Type="http://schemas.openxmlformats.org/officeDocument/2006/relationships/hyperlink" Target="http://www.foodstandards.gov.au/science/surveillance/documents/BPA%20paper%20October%202010%20FINAL.pdf" TargetMode="Externa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www.foodstandards.gov.au/code/proposals/Documents/P1034-Packaging-CFS-SD7.docx" TargetMode="External"/><Relationship Id="rId35" Type="http://schemas.openxmlformats.org/officeDocument/2006/relationships/hyperlink" Target="http://www.foodstandards.gov.au/code/proposals/Documents/P1034%20Packaging%201CFS.pdf" TargetMode="Externa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hyperlink" Target="http://www.foodstandards.gov.au/code/proposals/Pages/P1034ChemicalMigrationfromPackagingintoFood.aspx" TargetMode="External"/><Relationship Id="rId27" Type="http://schemas.openxmlformats.org/officeDocument/2006/relationships/hyperlink" Target="http://www.foodstandards.gov.au/code/proposals/Documents/P1034-Packaging-CFS-SD2.docx" TargetMode="External"/><Relationship Id="rId30" Type="http://schemas.openxmlformats.org/officeDocument/2006/relationships/hyperlink" Target="http://www.foodstandards.gov.au/code/proposals/Documents/P1034-Packaging-CFS-SD7.pdf" TargetMode="Externa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eupia.org/index.php?id=31&amp;tx_edm_pi1%5BshowUid%5D=21&amp;cHash=6495d86ce2d7a8022a1802b356c4fd2a" TargetMode="External"/><Relationship Id="rId2" Type="http://schemas.openxmlformats.org/officeDocument/2006/relationships/hyperlink" Target="http://www.foodstandards.gov.au/code/proposals/Pages/P1034ChemicalMigrationfromPackagingintoFood.aspx" TargetMode="External"/><Relationship Id="rId1" Type="http://schemas.openxmlformats.org/officeDocument/2006/relationships/hyperlink" Target="http://www.foodstandards.gov.au/code/proposals/Pages/P1034ChemicalMigrationfromPackagingintoFood.aspx" TargetMode="External"/><Relationship Id="rId6" Type="http://schemas.openxmlformats.org/officeDocument/2006/relationships/hyperlink" Target="http://www.foodstandards.gov.au/code/proposals/Pages/P1034ChemicalMigrationfromPackagingintoFood.aspx" TargetMode="External"/><Relationship Id="rId5" Type="http://schemas.openxmlformats.org/officeDocument/2006/relationships/hyperlink" Target="http://www.foodstandards.gov.au/code/proposals/Documents/P1034%20Packaging%201CFS.pdf" TargetMode="External"/><Relationship Id="rId4" Type="http://schemas.openxmlformats.org/officeDocument/2006/relationships/hyperlink" Target="http://www.foodstandards.gov.au/code/proposals/Documents/P1034%20Packaging%201CF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SharedContentType xmlns="Microsoft.SharePoint.Taxonomy.ContentTypeSync" SourceId="8959f586-1386-49a0-8f25-29490ba8c513" ContentTypeId="0x01010004C4C934AD08B647A78FCADD498BE31902" PreviousValue="false"/>
</file>

<file path=customXml/item4.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0" ma:contentTypeDescription="FSANZ Record" ma:contentTypeScope="" ma:versionID="b1136f177ddd6bf22f969cfff7e7a501">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2329e03be1326ba43c92e7f21fdfd65c"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A3501-39F1-4000-B024-3047BFB70BB9}"/>
</file>

<file path=customXml/itemProps2.xml><?xml version="1.0" encoding="utf-8"?>
<ds:datastoreItem xmlns:ds="http://schemas.openxmlformats.org/officeDocument/2006/customXml" ds:itemID="{C98DFA7D-1E2F-4B82-B589-D90EDD01FF32}"/>
</file>

<file path=customXml/itemProps3.xml><?xml version="1.0" encoding="utf-8"?>
<ds:datastoreItem xmlns:ds="http://schemas.openxmlformats.org/officeDocument/2006/customXml" ds:itemID="{2C39A2E0-D760-4713-90B0-B3455F9CF62A}">
  <ds:schemaRefs>
    <ds:schemaRef ds:uri="Microsoft.SharePoint.Taxonomy.ContentTypeSync"/>
  </ds:schemaRefs>
</ds:datastoreItem>
</file>

<file path=customXml/itemProps4.xml><?xml version="1.0" encoding="utf-8"?>
<ds:datastoreItem xmlns:ds="http://schemas.openxmlformats.org/officeDocument/2006/customXml" ds:itemID="{2A3871DD-D468-4A38-B436-C2D76B08F1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3BB1299-9833-434A-8093-3C9B39A35FB2}"/>
</file>

<file path=customXml/itemProps6.xml><?xml version="1.0" encoding="utf-8"?>
<ds:datastoreItem xmlns:ds="http://schemas.openxmlformats.org/officeDocument/2006/customXml" ds:itemID="{F77B49FC-02EB-4EF4-9840-2F1EDEFB573C}"/>
</file>

<file path=docProps/app.xml><?xml version="1.0" encoding="utf-8"?>
<Properties xmlns="http://schemas.openxmlformats.org/officeDocument/2006/extended-properties" xmlns:vt="http://schemas.openxmlformats.org/officeDocument/2006/docPropsVTypes">
  <Template>Normal</Template>
  <TotalTime>5</TotalTime>
  <Pages>19</Pages>
  <Words>6615</Words>
  <Characters>37708</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44235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bervel</dc:creator>
  <cp:lastModifiedBy>coughc</cp:lastModifiedBy>
  <cp:revision>3</cp:revision>
  <cp:lastPrinted>2012-03-26T22:44:00Z</cp:lastPrinted>
  <dcterms:created xsi:type="dcterms:W3CDTF">2017-10-06T00:20:00Z</dcterms:created>
  <dcterms:modified xsi:type="dcterms:W3CDTF">2017-10-06T00:41:00Z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y fmtid="{D5CDD505-2E9C-101B-9397-08002B2CF9AE}" pid="3" name="BCS_">
    <vt:lpwstr>40;#Evaluation|43bd8487-b9f6-4055-946c-a118d364275d</vt:lpwstr>
  </property>
  <property fmtid="{D5CDD505-2E9C-101B-9397-08002B2CF9AE}" pid="4" name="_dlc_DocIdItemGuid">
    <vt:lpwstr>36b739d1-219b-4bc3-9853-c7fec188d986</vt:lpwstr>
  </property>
  <property fmtid="{D5CDD505-2E9C-101B-9397-08002B2CF9AE}" pid="5" name="SPPCopyMoveEvent">
    <vt:lpwstr>1</vt:lpwstr>
  </property>
  <property fmtid="{D5CDD505-2E9C-101B-9397-08002B2CF9AE}" pid="6" name="DisposalClass">
    <vt:lpwstr/>
  </property>
  <property fmtid="{D5CDD505-2E9C-101B-9397-08002B2CF9AE}" pid="7" name="TitusGUID">
    <vt:lpwstr>7d282213-37bc-4eb1-887e-d28955914069</vt:lpwstr>
  </property>
</Properties>
</file>